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323 vom 28. Mai 2014</w:t>
      </w:r>
    </w:p>
    <w:p>
      <w:r>
        <w:t>VD Tribunal cantonal, 2014-05-28, FR</w:t>
      </w:r>
    </w:p>
    <w:p>
      <w:r>
        <w:rPr>
          <w:b/>
        </w:rPr>
        <w:t xml:space="preserve">Quelle: </w:t>
      </w:r>
      <w:r>
        <w:t>https://mcp.opencaselaw.ch/entscheid/vd_findinfo_Jug___2014___323</w:t>
      </w:r>
    </w:p>
    <w:p>
      <w:r>
        <w:t>FR: VD_FINDINFO Jug / 2014 / 323 du 28 mai 2014</w:t>
      </w:r>
    </w:p>
    <w:p>
      <w:r>
        <w:t>IT: VD_FINDINFO Jug / 2014 / 323 del 28 maggio 2014</w:t>
      </w:r>
    </w:p>
    <w:p>
      <w:pPr>
        <w:pStyle w:val="Heading2"/>
      </w:pPr>
      <w:r>
        <w:t>Regeste</w:t>
      </w:r>
    </w:p>
    <w:p>
      <w:r>
        <w:t>BRIGANDAGE, FAUX MATÉRIEL DANS LES TITRES, FIXATION DE LA PEINE, FAUTE, PRÉSOMPTION D'INNOCENCE, ARMES ET MUNITIONS | 140 ch. 3 CP, 146 al. 1 CP, 22 al. 1 CP, 251 CP, 252 CP, 285 ch. 1 CP, 33 al. 1 let. a LArm</w:t>
      </w:r>
    </w:p>
    <w:p>
      <w:pPr>
        <w:pStyle w:val="Heading2"/>
      </w:pPr>
      <w:r>
        <w:t>Erwägungen</w:t>
      </w:r>
    </w:p>
    <w:p>
      <w:r>
        <w:rPr>
          <w:b/>
        </w:rPr>
        <w:t>E. 4</w:t>
      </w:r>
    </w:p>
    <w:p>
      <w:r>
        <w:t>X.________ conteste ensuite sa condamnation pour tentatives de brigandage qualifié (cas 2.5 et 2.6). Invoquant une constatation incomplète ou erronée des faits et une violation du principe in dubio pro reo , il fait en particulier valoir qu’il ne s’est jamais rendu dans la parking souterrain et que son intention de commettre un brigandage à la caisse du B.________ AG est insuffisamment établie.</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TF 6B_18/2011 du 6 septembre 2011 c. 2.1).</w:t>
      </w:r>
    </w:p>
    <w:p>
      <w:r>
        <w:rPr>
          <w:b/>
        </w:rPr>
        <w:t>E. 4.2</w:t>
      </w:r>
    </w:p>
    <w:p>
      <w:r>
        <w:t>Commet un brigandage au sens de l’art. 140 CP celui qui aura commis un vol en usant de violence à l'égard d'une personne, en la menaçant d'un danger imminent pour la vie ou l'intégrité corporelle ou en la mettant hors d'état de résister (ch. 1, 1 re phrase). D'un point de vue objectif, l'infraction doit porter, à l'instar du vol, sur une chose mobilière appartenant à autrui. Il doit en outre y avoir soustraction de cette chose sans le consentement de celui qui l'avait précédemment. L'auteur doit s'emparer de la chose qu'il vient de prendre – ou la conserver – par l'emploi d'un moyen de contrainte, en usant de violence, c'est-à-dire par toute action physique immédiate sur le corps de la personne qui doit défendre la possession de la chose. Au lieu de la violence, l'auteur peut employer la menace d'un danger imminent pour la vie ou l'intégrité corporelle, à l'exclusion d'autres biens juridiquement protégés, sans qu'il ne soit nécessaire que la victime ait été mise dans l'incapacité de se défendre. La menace doit cependant être sérieuse, même si la victime ne l'a pas crue. Elle peut intervenir par actes concluants, par exemple en exhibant une arme. D'un point de vue subjectif, l'intention, soit la conscience et la volonté (art. 12 al. 2 CP), doit porter sur tous les éléments constitutifs de l'infraction, y compris ceux du vol, et donc notamment sur le moyen de contrainte utilisé, soit la violence ou la menace d'un danger imminent pour la vie ou l'intégrité corporelle à l'égard d'une personne ou le fait de la mettre hors d'état de résister. En outre, l'auteur doit avoir le dessein de s'approprier la chose en vue de se procurer ou de procurer à un tiers un enrichissement illégitime (cf. Corboz, Les principales infractions, vol. I, Berne 2010, n. 1 à 12 ad art. 140 CP, pp. 260 ss, ainsi que la doctrine et la jurisprudence citées), étant précisé que déterminer ce qu'une personne a su, envisagé, voulu ou accepté relève du contenu de la pensée, à savoir des faits (ATF 135 IV 152 c. 2.3.2 p. 156).</w:t>
      </w:r>
    </w:p>
    <w:p>
      <w:r>
        <w:rPr>
          <w:b/>
        </w:rPr>
        <w:t>E. 4.3</w:t>
      </w:r>
    </w:p>
    <w:p>
      <w:r>
        <w:t>En l’espèce, s’agissant tout d’abord de la réalité de l’agression de L.________ dans le parking, la mise en cause de l’appelant par la victime est décisive. En effet, dès sa première audition, celle-ci a fait une description détaillée de l’homme qui l’a agressée et de l’arme utilisée par celui-ci (« un objet en métal gris, avec comme deux tubes accolés l’un à l’autre » PV d’aud. 2, R. 5). Lors de sa seconde audition, la victime a identifié sans hésitation X.________ sur une planche photographique et elle a précisé qu’elle avait supposé que l’objet qu’il tenait dans la main était un fusil, bien qu’il soit plus court qu’une telle arme (PV aud. 6, R. 5). Elle a ajouté qu’elle avait été très effrayée et qu’elle avait eu l’impression que son agresseur voulait la tuer. La victime a eu si peur, qu’elle a quitté le parking sans insérer son ticket dans le dispositif levant la barrière, en se collant immédiatement au véhicule qui se trouvait devant elle. A l’appui de ses déclarations, elle a d’ailleurs produit, lors de sa seconde audition par la police, le ticket demeuré en sa possession. Les déclarations de la victime sont tout à fait convaincantes et précises et la version de l’appelant, selon laquelle il ne se serait jamais rendu dans le parking, ne résiste pas à l’examen. En effet, on ne voit pas comment L.________ aurait pu identifier X.________ et décrire l’arme que celui-ci a lâchée quelques minutes plus tard dans le centre commercial situé juste au dessus du parking, si ce n’est parce que celui-ci l’a agressée dans le parking comme elle l’a décrit. On ne voit pas non plus quel intérêt aurait la victime à inventer une telle agression. Enfin, s’agissant de l’intention de l’appelant, la thèse du suicide n’est absolument pas crédible. Manifestement, en guettant et menaçant d’une arme à feu une femme isolée dans un parking, le prévenu cherchait une fois de plus à obtenir de l’argent – comme il l’avait fait durant les quelques mois précédents par le biais de demandes de crédit qui n’avaient pas abouti – cette fois-ci en dévalisant une victime. Il y a donc bien lieu de retenir que, ce jour-là, X.________ avait l’intention de voler les biens de L.________ en la menaçant de son arme et qu’il s’est rendu coupable de tentative de brigandage qualifié (art. 22 al. 1 en relation avec art. 140 al. 3 ch. 3 CP).</w:t>
      </w:r>
    </w:p>
    <w:p>
      <w:r>
        <w:rPr>
          <w:b/>
        </w:rPr>
        <w:t>E. 4.4</w:t>
      </w:r>
    </w:p>
    <w:p>
      <w:r>
        <w:t>S’agissant du cas 2.5, l’appelant soutient qu’il n’avait pas l’intention de commettre un vol à main armée dans le magasin B.________ AG, mais qu’il comptait uniquement y acheter une bouteille de whisky qu’il entendait consommer avant de se suicider. Il fait valoir que son arme serait tombée de la poche intérieure de sa veste alors qu’il sortait son porte-monnaie pour payer la bouteille de whisky. La thèse du faux mouvement n’est pas crédible. En effet, vu la trajectoire quasi horizontale des plombs, l’arme est tombée sur le côté et non verticalement au sol ce qui se serait produit si elle avait glissé entre le torse et la veste. C’est donc bien en empoignant l’arme par la crosse et en tentant de la sortir par le haut de sa veste dans un mouvement ample du bras qu’elle lui a échappée. Pour le surplus, le fait qu’il connaissait de vue le personnel du magasin et qu’il a agi à visage découvert n’est pas déterminant s’agissant d’un homme aussi impulsif qui venait de tenter de détrousser, à visage découvert, une automobiliste dans le même centre commercial. La version du prévenu selon laquelle il était toujours porteur de ce fusil de 40 cm relativement encombrant ou qu’il voulait se suicider ce jour-là n’est pas vraisemblable, ce d’autant que, si sa volonté avait réellement été de se suicider, on ne voit pas pourquoi, en plus des deux cartouches déjà engagées dans son arme, l’appelant se serait muni des deux cartouches de réserve qui se trouvaient dans ses poches, un seul coup suffisant à la réalisation d’un suicide. La Cour de céans, à l’instar des premiers juges, est donc convaincue que X.________ a sorti son arme à proximité de la caisse avec l’intention d’obtenir les espèces qu’il n’avait pas pu soutirées à L.________. En définitive, la tentative de brigandage qualifié (art. 22 al. 1 en relation avec art. 140 al. 3 ch. 3 CP) doit donc également être retenue dans ce cas.</w:t>
      </w:r>
    </w:p>
    <w:p>
      <w:r>
        <w:rPr>
          <w:b/>
        </w:rPr>
        <w:t>E. 5</w:t>
      </w:r>
    </w:p>
    <w:p>
      <w:r>
        <w:t>Enfin, le tribunal de première instance a retenu une infraction à la Loi fédérale sur les armes, les accessoires d’armes et les munitions du 20 juin 1997 (ci-après: LArm ; RS 514.54) en application de l’art 33 al. 1 let. a de cette loi, dès lors que le prévenu ne disposait d’aucun permis pour le fusil à canon scié dont il a été fait état dans les cas 2.5 et 2.6 ci-dessus. L’art. 33 al. 1 let a LArm prévoit que sera puni d'une peine privative de liberté de trois ans au plus ou d'une peine pécuniaire quiconque, intentionnellement et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 cet égard, il y a lieu de relever que les armes de chasse ne sont pas soumises à permis (art</w:t>
      </w:r>
    </w:p>
    <w:p>
      <w:r>
        <w:rPr>
          <w:b/>
        </w:rPr>
        <w:t>E. 10</w:t>
      </w:r>
    </w:p>
    <w:p>
      <w:r>
        <w:t>al. 1 let a LArm). Toutefois, la modification du fusil, son port en public alors que l’arme est chargée et le port de munition tombent bien sous le coup de l’art. 33 LArm, si bien que l’infraction à la LArm, au demeurant non contestée, doit également être retenue à l’encontre de X.________. 6. Le Ministère public et X.________ critiquent la peine prononcée par le tribunal de première instance. Aux yeux de l’accusation, la peine est trop clémente dès lors que la culpabilité a été décrite par les premiers juges comme très lourde. La gravité des faits, le poids des antécédents, notamment celui de 2005 pour des faits semblables, et l’absence de repentir durant la procédure imposerait une peine nettement plus sévère. De plus, toujours selon le Ministère public, les premiers juges auraient accordé un poids excessif à la diminution de responsabilité, alors qu’il s’agissait d’un élément parmi d’autres. Au moment de fixer la sanction, ils auraient donc abusé de leur pouvoir d’appréciation et ils se seraient écartés du cadre fixé par la jurisprudence du Tribunal fédéral en ne tenant plus compte des éléments objectivement à charge énoncés auparavant (ATF 136 IV 55 ; JT 20101V 127). Pour le prévenu au contraire, la peine devrait être réduite dès lors qu’il considère que les deux cas de tentative de brigandage n’auraient pas dû être retenus à son encontre. 6.1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1). 6.2 Le juge dispose d’un large pouvoir d’appréciation. Il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 2.1 ; ATF 127 IV 101 c. 2c). Plus la peine est élevée, plus la motivation doit être complète (ATF 127 IV 101 c. 2c). 6.3 En l’espèce, au chapitre des « objektive Tatkomponente », les deux tentatives de brigandage dénotent la dangerosité particulière de l’auteur qui passe à l’acte avec une inquiétante impulsivité sans réfléchir le moins du monde ni se soucier d’être pris, ce qui le conduit à agir sans planification poussée, sans se masquer, en présence de tiers, sans préparer une voie de fuite. Il démontre ainsi sa faculté de faire le pire de manière complètement irraisonnée et incontrôlée, sans aucune appréciation des risques. La vie ou l’intégrité des autres n’ont guère d’importance pour celui qui agit de la sorte. Le choix de l’arme est également inquiétant ; X.________ avait sciée cette dernière à deux endroits (canon et crosse) pour qu’elle soit plus dissimulable et maniable. Il l’avait chargée à grenaille et il s’était muni d’une recharge. Utilisée à une courte distance, même chargée à petits plombs, il s’agit d’une arme redoutable, car la gerbe de projectiles a l’effet d’une balle dont l’impact se répartit sur une surface plus large. Cet effet de mitraille peut causer des lésions multiples et concentrées augmentant sensiblement le risque de tuer et de mutiler. Pour les victimes, la vision des deux larges canons à l’âme noire braqués sur elles renforce cette impression. Même si les brigandages sont impulsifs, plus particulièrement le deuxième, la résolution de passer à l’acte s’est accompagnée d’une préparation minimale ayant consisté, outre à se munir de l’arme, à la charger, à prendre de la munition supplémentaire et un couteau. Le prévenu a déterminé un lieu d’embuscade, soit un parking souterrain, et une cible en la personne d’une femme seule regagnant son véhicule avec ses achats. L’absence de résultat est dû dans le premier cas à la résistance de la victime qui a verrouillé son véhicule et pris la fuite et, dans le deuxième cas, à la maladresse du prévenu qui s’est ensuite désisté. Sur le plan subjectif, la première victime a perçu chez le prévenu une forme de colère ou de rage, notamment lorsqu’elle lui a échappé. La détermination de X.________ de commettre un brigandage de « remplacement » aussitôt après l’échec de la première tentative dénote une détermination farouche et paroxystique d’accomplir son forfait. Enfin, il s’est montré agressif avec les policiers, ainsi qu’avec le médecin chargé de l’examiner après son arrestation. Cette double flambée de violence, qui s’inscrit dans sa dangerosité, contraste toutefois avec sa maladresse et son évidente incapacité à faire aboutir ses entreprises criminelles. L’expertise psychiatrique ne relève pas de déficit de l’intelligence, ce qui est confirmé par les lettres de l’intéressé qui figurent au dossier. Son inefficacité à parvenir au résultat tient en l’espèce donc uniquement à un émoussement de sa détermination. Il est vite dissuadé par des imprévus et il renonce à poursuivre aussi brusquement qu’il est passé à l’acte. Ainsi, il ne tente rien et assiste passivement à la fuite en voiture de la première victime. Après avoir laissé tomber son fusil dans le magasin, il feint de ne pas être concerné par l’arme, il paie sa bouteille et quitte le magasin au lieu de ramasser son arme, de profiter de la peur provoquée par le coup de feu, de braquer la caissière et de partir avec l’argent. Ses escroqueries ne sont pas non plus abouties. Quant aux Täterkompomente, l’antécédent de 2002 : attaque d’une gérante d’un magasin Coop pour voler le contenu d’un coffre-fort, fondant une récidive spéciale après avoir purgé une peine de réclusion non négligeable, s’avère particulièrement lourd. Il faut aussi tenir compte de l’âge du prévenu – à savoir 49 ans révolus aujourd’hui – soit une époque de la vie où l’on est plus censé se comporter avec autant d’imprévoyance et de légèreté. Enfin, hors cadre de soins, il présente un risque de récidiver dans des infractions de même gravité. La prise en compte de l’ensemble de ces éléments, en particulier la grande dangerosité, sans donner, à l’inverse des premiers juges, un poids excessif à la diminution de responsabilité conduit à augmenter la peine dont le seuil minimal se situe déjà bien au-delà de deux ans de privation de liberté en raison du concours des deux tentatives de brigandage aggravé. Toutefois, s’agissant pour l’essentiel de sanctionner des tentatives de brigandage, dont une relève d’un désistement, une peine de 5 ans paraît appropriée. 6.4 La mesure institutionnelle prononcée n’est pas contestée. Au vu des conclusions de l’expertise, de la nécessité d’un tel traitement pour diminuer le risque de récidive, de l’adhésion du prévenu à cette mesure et de son parcours depuis le début de l’exécution anticipée de cette mesure le 27 novembre 2012, il y a lieu de confirmer l’appréciation des premiers juges et d’ordonner la poursuite de la mesure institutionnelle de l’art. 60 CP. 7. En définitive, l’appel joint de X.________ doit être rejeté, l’appel du Ministère public partiellement admis et le jugement entrepris réformé en ce que X.________ est condamné à une peine privative de liberté de 5 ans, le jugement étant confirmé pour le surplus. Vu l’issue de la cause, les frais de la procédure d’appel, constitués en l’espèce de l’émolument d’arrêt, par 2’600 fr., et de l’indemnité allouée au défenseur d’office, par 1'782 fr., TVA et débours compris, sont mis à la charge de X.________. Ce dernier ne sera tenu de rembourser à l’Etat le montant de l’indemnité en faveur de son défenseur d’office que lorsque sa situation financière le permettra. S’agissant du montant de l’indemnité allouée au défenseur d’office, il correspond à 8 heures 30 minutes d’activité au tarif horaire de 180 fr., à laquelle il y a lieu d’ajouter un montant forfaitaire de 120 fr. à titre de vacation, plus la TVA. La Cour d’appel pénale, vu l’article 129 CP; appliquant les articles 19 al. 2, 40, 47, 49 al. 1, 50, 51, 60, 69, 22 al. 1 ad 140 ch. 3, 22 al. 1 ad 146 al. 1, 251, 252, 285 ch. 1 CP, 33 al. 1 lit. a LArm, et 398 ss CPP, prononce : I. L'appel du Ministère public est partiellement admis. II. L'appel joint de X.________ est rejeté. III. Le jugement rendu le 28 mai 2014 par le Tribunal correctionnel de l’arrondissement de la Broye et du Nord vaudois est modifié comme il suit au chiffre III de son dispositif, le dispositif du jugement étant désormais le suivant : « I. libère X.________ des chefs de prévention de mise en danger de la vie d’autrui et d’abus de cartes-chèques et de cartes de crédit; II. constate que X.________ s’est rendu coupable de tentative de brigandage qualifié, tentative d’escroquerie, faux dans les titres, faux dans les certificats, violence ou menace contre les autorités et les fonctionnaires et infraction à la loi fédérale sur les armes; III. condamne X.________ à une peine privative de  liberté de 5 (cinq) ans sous déduction de 328 (trois cent vingt-huit) jours de détention avant jugement; IV. ordonne la poursuite par X.________ du traitement institutionnel de l’art. 60 al. 1 CP dont il bénéficie déjà depuis le 27 novembre 2012; V. renvoie B.________ AG et K.________ AG à agir par la voie civile contre X.________; VI. ordonne la confiscation et la destruction, dès jugement définitif et exécutoire, de l’ensemble des objets et documents séquestrés sous fiche no 154 et 155; VII. met une partie des frais de la cause à la charge de X.________ par 24'898 fr. 20 (vingt-quatre mille huit cent nonante-huit francs et vingt centimes), y compris l’indemnité allouée à son défenseur d’office Me François Chanson de 8'299 fr. 80 (huit mille deux cent nonante-neuf francs et huitante centimes), le solde étant laissé à la charge de l’Etat; VIII. dit que le remboursement à l’Etat de l’indemnité alloué sous chiffre VII ci-dessus ne pourra être exigée de X.________ que dans la mesure où sa situation financière se sera améliorée et le permettra . » IV. Une indemnité de défenseur d'office pour la procédure d'appel d'un montant de 1'782 fr. , TVA et débours inclus, est allouée à Me François Chanson. V. Les frais d'appel, par 4’382 fr., y compris l'indemnité allouée au défenseur d'office, sont mis à la charge de X.________. VI. X.________ ne sera tenu de rembourser à l’Etat le montant de l’indemnité en faveur de son défenseur d’office prévue au ch. VI ci-dessus que lorsque sa situation financière le permettra . Le président :               La greffière : Du 28 octobre 2014 Le dispositif du jugement qui précède est communiqué aux appelants et aux autres intéressés. La greffière : Du Le jugement qui précède, dont la rédaction a été approuvée à huis clos, est notifié, par l'envoi d'une copie complète, à : - M. François Chanson, avocat (pour X.________), - Ministère public central, et communiqué à : - M. le Président du Tribunal correctionnel de l'arrondissement de la Broye et du Nord vaudois, - M. le Procureur du Ministère public central, division affaires spéciales, contrôle et mineurs, - Office d’exécution des peines, - Fondation Bartimée, - Service de la population et des étrangers, secteur étrangers (X.________, né le 11.09.1965) - Office fédéral de la police, - Service de renseignements de la Confédération, - B.________ AG, - K.________ AG, - M. V.________,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