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32 vom 4. September 2013</w:t>
      </w:r>
    </w:p>
    <w:p>
      <w:r>
        <w:t>VD Tribunal cantonal, 2013-09-04, FR</w:t>
      </w:r>
    </w:p>
    <w:p>
      <w:r>
        <w:rPr>
          <w:b/>
        </w:rPr>
        <w:t xml:space="preserve">Quelle: </w:t>
      </w:r>
      <w:r>
        <w:t>https://mcp.opencaselaw.ch/entscheid/vd_findinfo_Jug___2014___32</w:t>
      </w:r>
    </w:p>
    <w:p>
      <w:r>
        <w:t>FR: VD_FINDINFO Jug / 2014 / 32 du 4 septembre 2013</w:t>
      </w:r>
    </w:p>
    <w:p>
      <w:r>
        <w:t>IT: VD_FINDINFO Jug / 2014 / 32 del 4 settembre 2013</w:t>
      </w:r>
    </w:p>
    <w:p>
      <w:pPr>
        <w:pStyle w:val="Heading2"/>
      </w:pPr>
      <w:r>
        <w:t>Regeste</w:t>
      </w:r>
    </w:p>
    <w:p>
      <w:r>
        <w:t>FIXATION DE LA PEINE | 47 al. 1 CP</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A juste titre, l’appelant ne conteste pas les faits incriminés, pas plus qu’il ne nie que les éléments constitutifs de l’infraction de détournement de valeurs patrimoniales mises sous main de justice, réprimée par l’art. 169 CP, sont réalisés en l’espèce. Il conteste en revanche la quotité et le genre de la peine, ainsi que le refus du sursis et la révocation du sursis octroyé le 1 er septembre 2009 par le Juge d’instruction de l'arrondissement de l’Est vaudois.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w:t>
      </w:r>
    </w:p>
    <w:p>
      <w:r>
        <w:rPr>
          <w:b/>
        </w:rPr>
        <w:t>E. 3.3</w:t>
      </w:r>
    </w:p>
    <w:p>
      <w:r>
        <w:t>En l’espèce, il doit d’abord être retenu que l’antécédent du prévenu est significatif, relativement récent et porte sur une infraction de même type; il y a donc récidive spéciale de détournement de valeurs patrimoniales mises sous main de justice. A cela s’ajoute que le débiteur assure son train de vie au détriment de ses créanciers. Il a ainsi détourné des sommes importantes à leur préjudice, soit plus de 75'000 fr., durant une longue période de surcroît (septembre 2009 à août 2012). En outre, il refuse de remettre en cause ce mode de vie, ayant bien plutôt pris le parti de la fuite. En d’autres termes, c’est de manière récurrente que le débiteur s’obstine à s’octroyer, au détriment de ses créanciers, un niveau de vie supérieur à la quotité insaisissable fixée par l’office de poursuites. Ce comportement témoigne d’une volonté délictuelle durable. Il s’agit d’autant d’éléments à charge. La culpabilité du prévenu est toutefois diminuée par un élément objectif d’une importance indéniable, à savoir le versement de 20'000 fr. effectué en main de son défenseur d’office, cette comme ayant ultérieurement été utilisée en faveur de divers créanciers. Il apparaît que le premier juge, s’il a à juste titre pris en compte ce facteur à décharge, n’en a pas moins quelque peu mésestimé l’importance. A cela s’ajoute que le prévenu a reconnu les faits. Certes, sa fuite à l’étranger témoigne d’un manque de prise de conscience de l’appelant, dès lors qu’il aurait pu continuer à travailler en Suisse pour le revenu assez significatif qu’il avait longtemps perçu de son activité indépendante. Elle ne modifie pas pour autant l’effet à décharge du versement de 20'000 francs. En effet, le prévenu a attendu d’être aux abois pour regagner l’Italie, probablement vers la fin de l’hiver 2012-2013. On peut donc considérer qu’il n’avait visiblement pas d’emblée envisagé de se soustraire à ses obligations par cet artifice, ce qui pondère son dol. Ces éléments à décharge s’ajoutant à ceux retenus par le tribunal de police sont de nature à réduire la quotité de la peine. A cet égard, le précédent dont s’est prévalu l’appelant en plaidoirie (CAPE du 12 août 2013/175) retient des facteurs à décharge de même nature, mais ne se limite pas pour autant à ces éléments. En effet, le débiteur concerné, au bénéfice d’une bonne intégration sociale, avait eu le mérite de continuer à travailler au-delà de l’âge de l’AVS et n’avait pas pris le parti de la fuite, ce qui n’est pas le cas de l’appelant. Tout bien pesé, c’est donc une peine d’une quotité de six mois qui apparaît adéquate pour réprimer la série d’infractions ici en cause. L’appel doit donc être admis partiellement dans cette mesure.</w:t>
      </w:r>
    </w:p>
    <w:p>
      <w:r>
        <w:rPr>
          <w:b/>
        </w:rPr>
        <w:t>E. 4.1</w:t>
      </w:r>
    </w:p>
    <w:p>
      <w:r>
        <w:t>Selon l’art. 39 al. 3 CP, une peine privative de liberté ne peut être ordonnée que s'il y a lieu d'admettre qu'une peine pécuniaire ne peut être exécutée. Tel est bien le cas en l’espèce au vu du gain hebdomadaire de l’appelant, limité à 100 à 150 euros, la situation financière du prévenu rendant ainsi illusoire toute peine pécuniaire. Du surcroît, l’intéressé réside dans son Etat d’origine, ce qui exclut de fait de vérifier l’exercice de toute activité lucrative. La peine doit donc être privative de liberté.</w:t>
      </w:r>
    </w:p>
    <w:p>
      <w:r>
        <w:rPr>
          <w:b/>
        </w:rPr>
        <w:t>E. 4.2</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w:t>
      </w:r>
    </w:p>
    <w:p>
      <w:r>
        <w:rPr>
          <w:b/>
        </w:rPr>
        <w:t>E. 4.3</w:t>
      </w:r>
    </w:p>
    <w:p>
      <w:r>
        <w:t>Pour ce qui est de savoir si la peine privative de liberté doit être assortie du sursis, l’appelant a commis une récidive spéciale, qui plus est pour partie en cours d’enquête. A cela s’ajoute qu’il n’a pas comparu aux audiences successives auxquelles il était cité et qu’il est parti à l’étranger sans informer l’autorité de son nouveau lieu de résidence en Italie, se soustrayant ainsi de fait à ses créanciers. Ces éléments témoignent donc d’un évident manque de conscience de la gravité de ses actes par le prévenu. Il est dès lors à craindre qu’il ne commette à nouveau des crimes ou délits, notamment de même nature, ce d’autant que sa situation professionnelle s’est encore péjorée. En présence d’un pronostic manifestement défavorable, l’impératif de prévention spéciale impose donc le prononcé d’une peine ferme.</w:t>
      </w:r>
    </w:p>
    <w:p>
      <w:r>
        <w:rPr>
          <w:b/>
        </w:rPr>
        <w:t>E. 4.4</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 4.4 pp. 143-144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4.5</w:t>
      </w:r>
    </w:p>
    <w:p>
      <w:r>
        <w:t>En l’espèce, le prévenu a agi durant le délai d’épreuve accordé en 2009, qui plus est sur une longue période et de manière récurrente. Il n’en reste cependant pas moins que l’on peut admettre que l'exécution, le cas échéant, de la nouvelle peine aura à elle seule un effet dissuasif suffisant pour le tenir à l’écart de la délinquance. On peut ainsi admettre que l'effet de choc et d'avertissement issu de l’exécution de la peine ferme est de nature à induire un pronostic favorable, s’agissant d’un délinquant qui a longtemps travaillé et dont les antécédents, même significatifs, ne sont pas graves au point de commander une appréciation par trop pessimiste. Ce qui précède justifie de renoncer à la révocation du sursis octroyé le 1 er septembre 2009 par le Juge d’instruction de l'arrondissement de l’Est vaudois. Il n’y a pas davantage lieu à prolonger la durée du délai d’épreuve assortissant le sursis. L’appel doit donc être admis dans cette mesure également.</w:t>
      </w:r>
    </w:p>
    <w:p>
      <w:r>
        <w:rPr>
          <w:b/>
        </w:rPr>
        <w:t>E. 5</w:t>
      </w:r>
    </w:p>
    <w:p>
      <w:r>
        <w:t>Vu l'issue de l’appel, à savoir la mesure dans laquelle l’appelant obtient gain de cause, les frais de la procédure d'appel doivent être mis par un tiers à sa charge, le solde étant laissé à celle de l’Etat (art. 428 al. 1, 1 re phrase, CPP). Outre l'émolument, les frais d’appel comprennent l’indemnité allouée au défenseur d’office du prévenu, pour les opérations liées à la procédure d'appel (cf. les art. 135 al. 2 et 422 al. 2 let. a CPP; art. 2 al. 2 ch. 1 TFJP). Vu l'ampleur et la complexité de la cause en appel, l'indemnité allouée au défenseur d'office du prévenu doit être fixée sur la base d'une durée d'activité de huit heures pour l’avocat breveté, à 180 fr. l'heure, plus une unité de débours à 120 fr. au titre des frais de vacation et 41 fr. 60 d’autres débours selon la liste d’opérations produite, TVA en sus (art. 135 al. 1 CPP), à un total de 1'729 fr. 70. Le prévenu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