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319 vom 7. April 2014</w:t>
      </w:r>
    </w:p>
    <w:p>
      <w:r>
        <w:t>VD Tribunal cantonal, 2014-04-07, FR</w:t>
      </w:r>
    </w:p>
    <w:p>
      <w:r>
        <w:rPr>
          <w:b/>
        </w:rPr>
        <w:t xml:space="preserve">Quelle: </w:t>
      </w:r>
      <w:r>
        <w:t>https://mcp.opencaselaw.ch/entscheid/vd_findinfo_Jug___2014___319</w:t>
      </w:r>
    </w:p>
    <w:p>
      <w:r>
        <w:t>FR: VD_FINDINFO Jug / 2014 / 319 du 7 avril 2014</w:t>
      </w:r>
    </w:p>
    <w:p>
      <w:r>
        <w:t>IT: VD_FINDINFO Jug / 2014 / 319 del 7 aprile 2014</w:t>
      </w:r>
    </w:p>
    <w:p>
      <w:pPr>
        <w:pStyle w:val="Heading2"/>
      </w:pPr>
      <w:r>
        <w:t>Regeste</w:t>
      </w:r>
    </w:p>
    <w:p>
      <w:r>
        <w:t>FIXATION DE LA PEINE, LOI FÉDÉRALE SUR LES STUPÉFIANTS ET LES SUBSTANCES PSYCHOTROPES, CONSTATATION DES FAITS | 47 CP, 10 CPP (CH)</w:t>
      </w:r>
    </w:p>
    <w:p>
      <w:pPr>
        <w:pStyle w:val="Heading2"/>
      </w:pPr>
      <w:r>
        <w:t>Erwägungen</w:t>
      </w:r>
    </w:p>
    <w:p>
      <w:r>
        <w:rPr>
          <w:b/>
        </w:rPr>
        <w:t>E. 1</w:t>
      </w:r>
    </w:p>
    <w:p>
      <w:r>
        <w:t>Interjetés dans les formes et délais légaux par des parties ayant la qualité pour recourir contre un jugement du tribunal de première instance ayant clos la procédure (art. 398 al. 1 CPP [Code de procédure pénale suisse du 5 octobre 2007; RS 312.0), l’appel d'U.________ et l'appel joint du Ministère public sont recevables.</w:t>
      </w:r>
    </w:p>
    <w:p>
      <w:r>
        <w:rPr>
          <w:b/>
        </w:rPr>
        <w:t>E. 2</w:t>
      </w:r>
    </w:p>
    <w:p>
      <w:r>
        <w:t>Aux termes de l’art. 398 al. 2 CPP, la juridiction d’appel jouit d’un plein pouvoir d’examen sur tous les points attaqués du jugement.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w:t>
      </w:r>
    </w:p>
    <w:p>
      <w:r>
        <w:rPr>
          <w:b/>
        </w:rPr>
        <w:t>E. 3</w:t>
      </w:r>
    </w:p>
    <w:p>
      <w:r>
        <w:t>Invoquant tout d'abord une constatation erronée des faits, l’appelant conteste la durée retenue pour son trafic, relevant qu’il n’a commencé son activité délictueuse que dans le courant 2010 et non dès 2006 comme l'ont retenu les premiers juges. A ce sujet, il se réfère aux témoignages de divers toxicomanes et requiert l’audition de K.________, qui serait le seul à l’impliquer dès 2006.</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En l'occurrence, les premiers juges ont retenu que les principales activités de l’appelant s'étaient déroulées entre 2011 et 2013 (cf. jgt attaqué p. 17 et 18). lIs ont toutefois également admis, en se fondant sur les témoignages des clients de l’intéressé, que ce dernier avait vendu 33.6 g de cocaïne entre 2009 et 2011 à [...], 36.4 g entre 2006 et 2008 à K.________ et 450 g entre 2008 et 2012 à W.________. L’appréciation du Tribunal criminel ne porte pas le flanc à la critique. Certes, la majeure partie des toxicomanes incrimine l’appelant pour son trafic entre 2011 et 2013. Ce seul élément, tout comme les déclarations de l’intéressé, ne permettent toutefois pas d’exclure les mises en cause pour un trafic antérieur. En effet, d’une part, les écoutes téléphoniques n’ont porté que sur 6 mois, soit entre septembre 2012 et mars 2013, de sorte que les questions formulées aux personnes appelées à donner des renseignements, à savoir les toxicomanes entendus, ont porté essentiellement sur cette période. D’autre part, les mises en cause de K.________ et W.________ sont claires et précises quant aux dates du trafic et aucun élément ne permet de douter de leur crédibilité. Ainsi, K.________ a expliqué, lors de son audition du 13 juin 2013, avoir connu l’appelant environ huit ans auparavant, lui avoir acheté de la drogue de l’été 2006 à la fin de l’année 2008 et savoir que cela faisait un moment que son fournisseur trafiquait (cf. PV aud 27, ad réponse 6) . W.________ a admis quant à lui qu’il se fournissait auprès de U.________ depuis son arrivée en Suisse, soit vers 2008 (cf. PV aud. 11, ad réponse 5; PV audience, p. 7). Pour le reste, il n’y a pas lieu de procéder à une nouvelle audition de K.________. Ce témoin a en effet déjà été confronté à l’appelant, ses déclarations sont claires et convaincantes et on ne voit pas ce que pourrait apporter une audition supplémentaire, qu'U.________ n'a d'ailleurs pas requise lors des débats de première instance.</w:t>
      </w:r>
    </w:p>
    <w:p>
      <w:r>
        <w:rPr>
          <w:b/>
        </w:rPr>
        <w:t>E. 4</w:t>
      </w:r>
    </w:p>
    <w:p>
      <w:r>
        <w:t>U.________ se plaint de la quotité de la sanction qui lui a été infligée, qu'il considère ne pas devoir dépasser 40 mois de privation de liberté. Quant au Ministère public, c'est une peine privative de liberté de 7 ans qu'il voudrait voir prononcée contre U.________.</w:t>
      </w:r>
    </w:p>
    <w:p>
      <w:r>
        <w:rPr>
          <w:b/>
        </w:rPr>
        <w:t>E. 4.1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ATF 121 IV 193 c. 2b).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 IV 342 c. 2d; TF 6B_567/2012 du 18 décembre 2012 c. 3.2 et les références citées).</w:t>
      </w:r>
    </w:p>
    <w:p>
      <w:r>
        <w:rPr>
          <w:b/>
        </w:rPr>
        <w:t>E. 4.2</w:t>
      </w:r>
    </w:p>
    <w:p>
      <w:r>
        <w:t>En l'espèce, U.________ s'est rendu coupable d'infraction grave et de contravention à la LStup (Loi fédérale du 3 octobre 1951 sur les stupéfiants et les substances psychotropes, RS 812.121) ainsi que d'infraction à l'art. 115 al. 1 let. b LEtr (Loi fédérale du 16 décembre 2005 sur les étrangers, RS 142.20).</w:t>
      </w:r>
    </w:p>
    <w:p>
      <w:r>
        <w:rPr>
          <w:b/>
        </w:rPr>
        <w:t>E. 4.2.1</w:t>
      </w:r>
    </w:p>
    <w:p>
      <w:r>
        <w:t>L’appelant reproche tout d'abord aux premiers juges de ne pas avoir examiné sa liberté de décision tout au long de son activité délictueuse et les conditions de sa vie au quotidien. Ce grief tombe à faux. En effet, le Tribunal criminel a expressément tenu compte, à décharge, de la situation personnelle de l’appelant, qui ne s'est pas modifiée entre 2004 et 2013. Par ailleurs, l’intéressé n’était pas privé de toute ressource, dès lors qu’il a travaillé de 2006 à 2009 aux Diablerets et qu'il a, par la suite, occupé régulièrement de petits jobs. Requérant d'asile et titulaire d'un permis N dès son arrivée en Suisse, il bénéficiait aussi de l’aide de I’EVAM. De plus, rien ne permet d'affirmer qu'il n'avait pas la possibilité de regagner son pays d'origine.</w:t>
      </w:r>
    </w:p>
    <w:p>
      <w:r>
        <w:rPr>
          <w:b/>
        </w:rPr>
        <w:t>E. 4.2.2</w:t>
      </w:r>
    </w:p>
    <w:p>
      <w:r>
        <w:t>Pour le reste, la culpabilité d'U.________ est lourde, les quantités de drogue trafiquées – soit 248.43 grammes de drogue pure – importantes et seule l'arrestation de l'appelant a mis fin à un trafic mis en place sur plusieurs années, par seul appât du gain. Il résulte aussi des mises en cause du co-prévenu E.________ qu'U.________ avait un nombre de clients importants (PV aud 6, réponses 6 et 7 et PV aud 7, p. 2, l. 34 s.). A charge, s'ajoutent aussi l'âge de l'appelant, ses antécédents judiciaires et le concours d'infractions. A décharge, il convient de retenir, comme les premiers juges, la situation personnelle du prévenu et son bon comportement en prison. L'ensemble de ces éléments conduit à admettre que la peine de 66 mois prononcée par les premiers juges, peine partiellement complémentaire à celles des 11 décembre 2006 du Juge d’instruction de l’Est vaudois et 31 janvier 2012 du Ministère public de l’arrondissement de l’Est vaudois et partiellement additionnelle à celle du 3 août 2010 du Juge d’instruction de Lausanne, est adéquate et doit être confirmée.</w:t>
      </w:r>
    </w:p>
    <w:p>
      <w:r>
        <w:rPr>
          <w:b/>
        </w:rPr>
        <w:t>E. 5</w:t>
      </w:r>
    </w:p>
    <w:p>
      <w:r>
        <w:t>En définitive, l'appel d'U.________ et l'appel joint du Ministère public doivent être rejetés et le jugement attaqué intégralement confirmé. Vu l'issue de la cause, les frais d'appel, constitués de l’émolument de jugement (art. 21 al. 1 et 2 TFIP [Tarif des frais de procédure et indemnités en matière pénale du 28 septembre 2010; RSV 312.03.1]), par 1'500 fr. (mille cinq cents francs) et de l’indemnité allouée au défenseur d’office de l’appelant, par 1'749 fr. 60, TVA et débours compris, doivent être mis pour deux tiers à la charge d'U.________, le solde étant laissé à la charge de l'Etat (art. 428 al. 1 CPP). Le prévenu ne sera tenu de rembourser à l’Etat les deux tiers du montant de l'indemnité en faveur de son défenseur d'office que lorsque sa situation financière le permettra (art. 135 al. 4 CPP). La Cour d’appel pénale appliquant les art. 40, 47, 49, 51, 69, 70, 106 CP, 19 ch.1 et 2 let. a, 19a ch.1 LStup, 115 al.1 let. b LEtr  et 398 ss CPP, prononce : I. L’appel d'U.________ est rejeté. II. L'appel joint du Ministère public est rejeté. III. Le jugement rendu le 7 avril 2014 par le Tribunal criminel de l'Est vaudois est confirmé selon le dispositif suivant : " I. et II.              inchangés; III. condamne U.________ pour infraction grave et contravention à la loi fédérale sur les stupéfiants, infraction à la loi fédérale sur les étrangers à une peine privative de liberté de 66 (soixante-six) mois, sous déduction de 391 jours de détention provisoire et à une amende de 100 fr., la peine privative de liberté de substitution étant d'un jour, peine partiellement complémentaire à celles des 11 décembre 2006 du Juge d’instruction de l’Est vaudois et 31 janvier 2012 du Ministère public de l’arrondissement de l’Est vaudois et partiellement additionnelle à celle du 3 août 2010 du Juge d’instruction de Lausanne; IV. maintient U.________ en détention pour des motifs de sûreté; V. ordonne la confiscation et la dévolution à l’Etat des objets et valeurs séquestrés sous fiches n° 1628 et 1629; VI. ordonne la confiscation et la destruction des stupéfiants saisis sous fiches n° 1628 et 1629; VII. ordonne le maintien au dossier à titre de pièces à conviction des objets séquestrés sous pièce 75; VIII. inchangé; IX. met les frais de la cause, - par 20'954 fr. 90 à la charge d’E.________, incluant l’indemnité de Me Dang par 8'592 fr. 45, TVA et débours compris; - par 21'145 fr. 75 à la charge d’U.________ incluant l’indemnité de Me Miauton, par 8'833 fr. 30, TVA et débours compris; X. dit que le remboursement à l’Etat de l'indemnité aux défenseurs d’office ne sera exigé que si la situation financière des condamnés le permet." IV. La détention subie depuis le jugement de première instance est déduite. V. Le maintien en détention d'U.________ à titre de sûreté est ordonné. VI. Une indemnité de défenseur d'office pour la procédure d'appel d'un montant de 1'749 fr. 60 (mille sept cent quarante-neuf francs et soixante centimes ), TVA et débours inclus, est allouée à Me Gilles Miauton. VII. Les frais d'appel, par 3'249 fr. 60, y compris l'indemnité allouée au défenseur d'office, sont mis par deux tiers, soit par 2'166 fr. 40, à la charge d'U.________, le solde étant laissé à la charge de l'Etat. VIII. U.________ ne sera tenu de rembourser à l’Etat les deux tiers du montant de l’indemnité en faveur de son défenseur d’office prévue au ch. VI ci-dessus que lorsque sa situation financière le permettra . La présidente :              La greffière : Du 28 août 2014 Le dispositif du jugement qui précède est communiqué aux appelants et aux autres intéressés. La greffière : Du Le jugement qui précède, dont la rédaction a été approuvée à huis clos, est notifié, par l'envoi d'une copie complète, à : - M. Gilles Miauton, avocat (pour U.________), - Ministère public central, et communiqué à : ‑ Mme la Présidente du Tribunal criminel de l'arrondissement de l'Est vaudois, - M. le Procureur de l'arrondissement de l'Est vaudois, - Mme Martine Dang, avocate (pour E.________), - Ministère public de la Confédération, - Service de la population, - Office d'exécution des peines, - Prison de la Croisée,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