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310 vom 14. Mai 2014</w:t>
      </w:r>
    </w:p>
    <w:p>
      <w:r>
        <w:t>VD Tribunal cantonal, 2014-05-14, FR</w:t>
      </w:r>
    </w:p>
    <w:p>
      <w:r>
        <w:rPr>
          <w:b/>
        </w:rPr>
        <w:t xml:space="preserve">Quelle: </w:t>
      </w:r>
      <w:r>
        <w:t>https://mcp.opencaselaw.ch/entscheid/vd_findinfo_Jug___2014___310</w:t>
      </w:r>
    </w:p>
    <w:p>
      <w:r>
        <w:t>FR: VD_FINDINFO Jug / 2014 / 310 du 14 mai 2014</w:t>
      </w:r>
    </w:p>
    <w:p>
      <w:r>
        <w:t>IT: VD_FINDINFO Jug / 2014 / 310 del 14 maggio 2014</w:t>
      </w:r>
    </w:p>
    <w:p>
      <w:pPr>
        <w:pStyle w:val="Heading2"/>
      </w:pPr>
      <w:r>
        <w:t>Regeste</w:t>
      </w:r>
    </w:p>
    <w:p>
      <w:r>
        <w:t>IN DUBIO PRO REO, MISE EN DANGER DE LA VIE D'AUTRUI{ART. 129 CP}, TRAITEMENT HOSPITALIER, FIXATION DE LA PEINE, RESPONSABILITÉ RESTREINTE{DROIT PÉNAL}, CONCOURS RÉEL, SURSIS PARTIEL À L'EXÉCUTION DE LA PEINE | 129 CP, 19 al. 2 CP, 43 CP, 47 CP, 49 al. 2 CP, 59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V.________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S’agissant de l’altercation du 21 mars 2013, l’appelant conteste les faits retenus par les premiers juges. Il leur fait grief d’avoir, en retenant la version du plaignant, procédé de manière arbitraire et en violation du principe in dubio pro reo .</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3.2.1</w:t>
      </w:r>
    </w:p>
    <w:p>
      <w:r>
        <w:t>Concernant les faits à l’origine de l’altercation, le prévenu soutient tout d’abord que le plaignant l’aurait bousculé volontairement, qu’il aurait attendu celui-ci à l’extérieur du bar non pas pour se battre avec lui mais pour discuter, mais que le plaignant n’aurait rien voulu entendre et l’aurait entraîné dans une bagarre dans laquelle ce dernier aurait pris le dessus. Cette version ne saurait toutefois être suivie. Tout d’abord, s’agissant de l’accrochage dans le bar, rien ne vient étayer l’affirmation selon laquelle J.________ aurait volontairement bousculé le prévenu, qui, faut-il le rappeler, souffre d’un trouble mental impliquant « une interprétation délirante des intentions d’autrui menant à un fort sentiment de persécution » (P. 49, p. 8). Pour sa part, le plaignant a toujours nié ce fait. Quant au témoin [...], il a indiqué que c’est en reculant que l’intimé avait bousculé le prévenu et précisé que le plaignant n’était pas un fauteur de trouble (PV aud. 6, R. 5 et 7). Les deux hommes ne se connaissaient par ailleurs pas et n’avaient donc aucun contentieux préexistant. Au demeurant, à chaque audition, le prévenu a donné des explications différentes sur le grief qu’il avait contre l’intéressé (cf. PV aud. 2, p. 2 : il a reçu un coup violent; PV aud. 3, li. 42 : le plaignant lui a mis la main aux fesses; en appel : il y a eu une bousculade volontaire), qui ne sont donc pas crédibles. Il résulte ensuite des propos du prévenu lui-même que celui-ci a attendu le plaignant pour en découdre avec lui, et non pour parlementer pacifiquement (cf. PV aud. 2 et 3). De plus, entendu par l’expert psychiatre plusieurs mois après les faits, il a fourni la même version de ses intentions (P. 49, p. 3). Ces premières déclarations doivent ainsi l’emporter sur les nouvelles explications données à l’audience de jugement. Certes, personne n’a vu le début de la bagarre. Cela étant, le prévenu n’est pas crédible au regard de ce qui précède. C’est bien lui qui a attendu le plaignant et l’a abordé, et rien ne permet de penser que celui-ci aurait donné le premier coup. Enfin, force est de constater que la suite des événements relevait plus de l’agression unilatérale que du pugilat. Le prévenu avait le dessus sur le plaignant qui se défendait faiblement. Cela résulte tant des témoignages de [...] et [...] (PV aud. 5 et 7) que des déclarations de l’appelant lui-même qui a reconnu avoir donné « une raclée » à l’intimé (PV aud. 3, li. 68). Au demeurant, la comparaison des lésions subies aboutit au même résultat.</w:t>
      </w:r>
    </w:p>
    <w:p>
      <w:r>
        <w:rPr>
          <w:b/>
        </w:rPr>
        <w:t>E. 3.2.2</w:t>
      </w:r>
    </w:p>
    <w:p>
      <w:r>
        <w:t>L’appelant conteste ensuite avoir étranglé l’intimé, de surcroît jusqu’à ce que celui-ci perde connaissance, comme l’ont retenu les premiers juges. Il l’aurait seulement repoussé avec une main sur la gorge. Il soutient que rien n’étaie les déclarations de la victime, qui n’aurait d’ailleurs pas parlé de strangulation lors de sa première audition. En l’occurrence, la première audition de la victime (PV aud. 1), faite deux heures après l’agression, est une audition de plainte, dans laquelle le déroulements des faits est résumé sur quelques lignes. Elle ne saurait donc constituer une relation complète de ce qui s’est passé. Dès sa deuxième audition, intervenue un jour après les faits, le plaignant a déclaré avoir été étranglé (PV aud. 4, p. 3). Quant au prévenu, il n’a jamais mentionné ce fait durant l’enquête et ce n’est qu’aux débats de première instance qu’il a expliqué la strangulation, alléguée par le plaignant, par un geste destiné à repousser celui-ci, après avoir reconnu qu’il avait « peut-être [...] serré le cou » (jgt, p. 4). De plus, le témoin [...] a également confirmé la strangulation, même s’il n’en est pas certain (PV aud. 7, p. 2). Sur le vu de ce qui précède, le principe de l’acte est bien établi. Il reste à en déterminer l’intensité. A cet égard, à la police, le plaignant a d’abord déclaré « j’ai presque perdu connaissance » (PV aud. 1), puis, le lendemain, il a indiqué « il […] faisait pression […] jusqu’à ce que je perde connaissance » (PV aud. 4, p. 3). Aux débats, il a répété « j’ai réellement perdu connaissance » et ajouté avoir été ranimé par la police (jgt, p. 6). Cette dernière affirmation n’est toutefois pas confirmée par les rapports de police qui n’en parlent pas (P. 4, 23, 33). Le témoin [...] a indiqué que lorsque l’agresseur était parti, ses collègues avaient aidé la victime à s’asseoir sur le bord du trottoir; celle-ci regardait dans ses poches et ramassait ses affaires qui étaient tombées (PV aud. 5, p. 3). Quant au témoin [...], s’il a déclaré « je ne pense pas que l’Africain ait perdu connaissance » (PV aud. 7, p. 2), il n’a pas vu la fin de l’agression, dès lors qu’il est allé chercher de l’aide à l’Hôtel de police. Le rapport du CURML ne mentionne aucune perte de connaissance (P. 15). Celui du Service des urgences du CHUV, en revanche, oui (P. 19). On ne sait toutefois pas si cela résulte des constatations des ambulanciers ou des déclarations faites par le plaignant aux médecins. Par contre, le prévenu lui-même a déclaré avoir frappé l’intimé « jusqu’à ce qu’il tombe dans les pommes » et l’avoir laissé « une fois inconscient, du moins il a fait semblant de l’être » (PV aud. 2, p. 3). Rien ne vient toutefois étayer la thèse d’une simulation de la victime, vraisemblablement due à une interprétation du prévenu. Enfin, aux débats de première instance, la victime a déclaré qu’à la suite de son agression, elle avait eu mal à la gorge (jgt., p. 7). A l’audience d’appel, elle a précisé que lors de l’examen au CURML, les médecins lui avaient enlevé sa minerve et avaient constaté des douleurs lorsqu’ils lui touchaient le cou. Ainsi, sur la base de l’ensemble de ces éléments, notamment des déclarations du plaignant et de celles du prévenu, il faut retenir que le premier était bien en train de perdre connaissance au moment où des tiers ont mis en fuite le second. Celui-ci a eu de surcroît le temps de percevoir cette perte de connaissance.</w:t>
      </w:r>
    </w:p>
    <w:p>
      <w:r>
        <w:rPr>
          <w:b/>
        </w:rPr>
        <w:t>E. 4</w:t>
      </w:r>
    </w:p>
    <w:p>
      <w:r>
        <w:t>L’appelant conteste la réalisation de l’infraction de mise en danger de la vie d’autrui. Il fait valoir qu’il voulait uniquement régler le conflit pour pouvoir continuer à fréquenter le bistrot social et qu’il n’a donc pas agi « sans scrupules » comme l’exige l’art. 129 CP. Il soutient aussi que son geste ne constituait pas une strangulation suffisamment intense pour mettre le plaignant en danger de mort; à tout le moins, il considère qu’il n’est pas établi qu’il en aurait eu conscience.</w:t>
      </w:r>
    </w:p>
    <w:p>
      <w:r>
        <w:rPr>
          <w:b/>
        </w:rPr>
        <w:t>E. 4.1</w:t>
      </w:r>
    </w:p>
    <w:p>
      <w:r>
        <w:t>L’art.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 2b). Il doit en outre s’agir d’un danger de mort, et non pas seulement d’un danger pour la santé ou l’intégrité corporelle (ATF 101 IV 154 c. 2a).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 2a). S’agissant plus précisément de la strangulation, la jurisprudence a admis qu’il pouvait y avoir danger de mort lorsque l’auteur étranglait sa victime avec une certaine intensité.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(ATF 124 IV 53; TF 6B_307/2013 du 13 juin 2013; TF 6B_87/2013 du 15 mai 2013 c. 3; TF 6B_996/2009 du 15 mars 2010 c. 3.3; TF 6S.40/2004 du 6 avril 2004 c. 2.1; TF 6P.96/2001 du 15 octobre 2001 c. 6b). Du point de vue subjectif, il faut que l’auteur ait agi intentionnellement et que l’acte ait été commis sans scrupules. L’auteur doit avoir conscience du danger de mort imminent pour autrui et adopter volontairement un comportement qui le crée (ATF 121 IV 67 c. 2d). En revanche, il ne veut pas, même à titre éventuel, la réalisation du risque (ATF 107 IV 163 c. 3). Le dol éventuel ne suffit pas (TF 6S.3/2006 du 13 mars 2006; TF 6S.426/2003 du 1 er mars 2004). Il y a absence de scrupules lorsque, compte tenu des moyens utilisés, des mobiles de l’auteur, de l’état de ce dernier et de l’ensemble des circonstances concrètes, l’acte apparaît comme contraire aux principes généralement admis des bonnes moeurs et de la morale (ATF 114 IV 103). Elle doit être retenue dès que le comportement de l’auteur demeure dépourvu de justification particulière ou ne répond pas à un but au moins partiellement légitime (Dupuis et alii, Petit commentaire, Code pénal, 2012, n. 14 ad art. 129 CP).</w:t>
      </w:r>
    </w:p>
    <w:p>
      <w:r>
        <w:rPr>
          <w:b/>
        </w:rPr>
        <w:t>E. 4.2</w:t>
      </w:r>
    </w:p>
    <w:p>
      <w:r>
        <w:t>En l’espèce, l’appelant semble considérer qu’il devait faire un étalage de force pour être respecté des Africains fréquentant le bistrot social, afin de ne pas devoir renoncer à la possibilité de se rendre quotidiennement dans cet établissement. Toutefois, le besoin de l’appelant de fréquenter ce lieu ne peut être mis en balance avec la vie d’un individu – pris pour cible par hasard et pour l’exemple –, et sans que le prévenu ait un véritable grief à faire valoir. Dans ces conditions, il faut admettre que V.________ a bien agi sans scrupules. Pour le surplus, les autres conditions de l’infraction sont également réalisées. En effet, la strangulation a été suffisamment forte pour que le plaignant perde connaissance, puis éprouve des douleurs à la gorge et des difficultés de déglutition pendant une semaine. Il est vrai que les médecins du CURML n’ont signalé aucune marque sur le cou ou pétéchie. IIs ont cependant précisé que « certaines lésions avaient pu disparaître entre le moment des faits et l’examen » et que « certains traumatismes ne laissaient pas nécessairement de traces visibles ». De plus, ils ont signalé la présence d’une minerve qui, d’après les déclarations du plaignant, a été enlevée pour l’exam du cou. Quoi qu’il en soit, des lésions visibles ne sont pas une condition sine qua non pour retenir une strangulation d’une intensité suffisante pour fonder une condamnation pour mise en danger de la vie d’autrui. Enfin, le fait qu’une strangulation d’une certaine intensité ou durée représente un danger pour la vie de la victime est de notoriété publique. En étranglant sa victime suffisamment longtemps pour qu’elle perde connaissance, ce qu’il a pu constater, le prévenu ne pouvait ignorer les risques de son geste. Il ne s’est au demeurant arrêté que parce que des tiers l’ont mis en fuite. De surcroît, il ne prétend pas avoir été surpris ou horrifié par l’évanouissement de la victime, qu’il se contente de taxer de simulation. Son geste était donc bien intentionnel. Par conséquent, V.________ doit être reconnu coupable de mise en danger de la vie d’autrui, toutes les conditions de réalisation de cette infraction étant réalisées.</w:t>
      </w:r>
    </w:p>
    <w:p>
      <w:r>
        <w:rPr>
          <w:b/>
        </w:rPr>
        <w:t>E. 5</w:t>
      </w:r>
    </w:p>
    <w:p>
      <w:r>
        <w:t>L’appelant conteste la nécessité d’un traitement institutionnel, en particulier en milieu fermé. Il fait valoir que l’expert préconisait uniquement une prise en charge psychosociale et que les premiers juges se seraient écartés de cet avis sans motif.</w:t>
      </w:r>
    </w:p>
    <w:p>
      <w:r>
        <w:rPr>
          <w:b/>
        </w:rPr>
        <w:t>E. 5.1</w:t>
      </w:r>
    </w:p>
    <w:p>
      <w:r>
        <w:t>Conformément à l’art. 56 al. 1 CP, une mesure doit être ordonnée si une peine seule ne peut écarter le danger que l’auteur commette d’autres infractions, si l’auteur a besoin d’un traitement ou que la sécurité publique l’exige, et si les conditions prévues aux art. 59 à 61, 63 ou 64 CP sont remplies. Le prononcé d’une mesure suppose que l’atteinte aux droits de la personnalité qui en résulte pour l’auteur ne soit pas disproportionnée au regard de la vraisemblance qu’il commette de nouvelles infractions et de leur gravité (art. 56 al. 2 CP). Selon l’art. 59 al. 1 CP, lorsque l’auteur souffre d’un grave trouble mental, le juge peut ordonner un traitement thérapeutique institutionnel si l’auteur a commis un crime ou un délit en relation avec ce trouble (let. a) et qu’il est à prévoir que cette mesure le détournera de nouvelles infractions en relation avec ce trouble (let. b).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(TF 6B_1045/2013 du 14 avril 2014; TF 6B_205/2012 du 27 juillet 2012 c. 3.2.2; TF 6B_384/2010 du 15 septembre 2010 c. 2.1.2; TF 6B_629/2009 du 21 décembre 2009 c. 1.2.2.2).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136 lI 539 c. 3.2 ; ATF 118 la 144 c. 1c).</w:t>
      </w:r>
    </w:p>
    <w:p>
      <w:r>
        <w:rPr>
          <w:b/>
        </w:rPr>
        <w:t>E. 5.2</w:t>
      </w:r>
    </w:p>
    <w:p>
      <w:r>
        <w:t>En l’espèce, il résulte de l’expertise que V.________ souffre de maladie mentale, que les faits qui lui sont reprochés y sont « étroitement liés », que ce dernier est anosognosique et refuse tout traitement et qu’« en l’absence de traitement, le risque de récidive d’actes agressifs pouvait être considéré comme élevé ». Dans la partie « discussion » de son rapport, l’expert a indiqué que le prévenu pourrait bénéficier de soins adaptés à sa problématique dans une institution de type psychosocial. A la question spécifique de savoir s’il était nécessaire d’ordonner un traitement institutionnel ou un traitement ambulatoire, pour autant qu’un traitement eut été indiqué pour prévenir la récidive, l’expert a répondu que le prévenu pouvait bénéficier de soins adaptés à sa problématique dans une institution psychiatrique. Il découle ainsi de ce qui précède que c’est bien un traitement en institution qui a été recommandé par l’expert. Pour le surplus, le choix du milieu ouvert ou fermé dépend de la question de savoir s’il y a lieu de craindre que l’auteur ne s’enfuie ou ne commette de nouvelles infractions. Sur ce point, l’expert ne doit pas spécifiquement se prononcer, dans la mesure où cela relève du domaine de la sécurité publique, plus que de la médecine. En l’occurrence, le prévenu nie sa maladie et refuse tout traitement; son délire paranoïaque lui fait interpréter de façon négative et menaçante les attitudes d’autrui, ce qui l’expose à un risque de récidive. En outre, il s’agit de sa deuxième agression physique sur un tiers: la première fois, il s’est battu, le 1 er octobre 2010, avec deux autres requérants d’asile et les a blessés avec un couteau, dont l’un gravement, ce qui lui a valu la condamnation du 8 mai 2013 (P. 5 et 22); dans la présente affaire également, il a mis en danger la vie d’une personne en l’agressant violemment. Dans ces circonstances, la sécurité publique commande que le traitement débute en milieu fermé. Au surplus, comme l’ont relevé les premiers juges (jgt, p. 28), ce point pourra être revu « après une certaine durée et si ce traitement présente les effets escomptés ». C’est donc à bon droit que les premiers juges ont prononcé un traitement institutionnel en milieu fermé.</w:t>
      </w:r>
    </w:p>
    <w:p>
      <w:r>
        <w:rPr>
          <w:b/>
        </w:rPr>
        <w:t>E. 6</w:t>
      </w:r>
    </w:p>
    <w:p>
      <w:r>
        <w:t>Enfin, l’appelant conteste la quotité de la peine qu’il considère trop sévère, eu égard à la complémentarité de la peine avec celle qui lui a été infligée le 8 mai 2013 et au fait que sa responsabilité pénale est fortement diminuée.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pénale(TF 6B_85/2013 du 4 mars 2013 c. 3.1; ATF 134 IV 17 c. 2.1; ATF 129 IV 6 c. 6.1).</w:t>
      </w:r>
    </w:p>
    <w:p>
      <w:r>
        <w:rPr>
          <w:b/>
        </w:rPr>
        <w:t>E. 6.1.2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en cas de diminution de la responsabilité pénale, le juge doit, dans un premier temps,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(ATF 136 IV 55 c. 5.7).</w:t>
      </w:r>
    </w:p>
    <w:p>
      <w:r>
        <w:rPr>
          <w:b/>
        </w:rPr>
        <w:t>E. 6.1.3</w:t>
      </w:r>
    </w:p>
    <w:p>
      <w:r>
        <w:t>En présence d’un concours rétrospectif, le juge doit fixer la peine additionnelle, pour les infractions jugées par lui, de la manière suivante: dans un premier temps, il doit se demander quelle peine aurait été prononcée si les infractions déjà jugées, d’une part, et celles qu’il doit sanctionner, commises avant la première décision, d’autre part, avaient fait l’objet d’un seul jugement. Il s’agit de la peine hypothétique d’ensemble. Dans un deuxième temps, le juge doit déduire de cette peine celle déjà ordonnée, soit la peine dite de base, pour obtenir la peine à prononcer pour les infractions jugées par lui, soit la peine additionnelle (ATF 132 IV 102 c. 8.2; ATF 129 IV 113 c. 1.1). Un tel calcul implique que le juge connaisse non seulement la peine qui a été prononcée antérieurement, mais également les infractions qu’elle sanctionnait (TF 6B_442/2012 du 11 mars 2013; TF 6S.326/2000 du 7 juillet 2000 c. 1a).</w:t>
      </w:r>
    </w:p>
    <w:p>
      <w:r>
        <w:rPr>
          <w:b/>
        </w:rPr>
        <w:t>E. 6.2</w:t>
      </w:r>
    </w:p>
    <w:p>
      <w:r>
        <w:t>En l’espèce, l’appelant s’est rendu coupable de lésions corporelles simples, mise en danger de la vie d’autrui et séjour illégal. L’infraction de mise en danger de la vie d’autrui, en concours avec les autres infractions, est particulièrement grave. Pour un motif futile, notamment pour pouvoir préserver la possibilité de fréquenter un bar, le prévenu s’en est pris à l’intégrité corporelle d’une personne, qu’il ne connaissait au demeurant pas. Il a attendu sa victime pendant près d’une heure, l’a suivie, puis s’en pris physiquement à elle avec acharnement et méthodiquement, avant de l’étrangler suffisamment longtemps pour qu’elle perde connaissance. Son geste n’a de surcroît été interrompu que par l’arrivée de tiers qui l’ont mis en fuite. Enfin, l’appelant est en état de récidive d’infractions de même nature. Dans ces circonstances, sa faute doit être considérée comme particulièrement grave. Avec les premiers juges, il faut suivre l’expertise psychiatrique et retenir que le prévenu présentait une importante diminution de sa responsabilité pénale au moment des faits. Toutefois, au regard des circonstances qui précèdent, notamment de l’acharnement dont celui-ci a fait preuve, de l’état de conscience qui subsistait et de la récidive d’actes similaires, sa faute reste subjectivement grave. En effet, si le trouble délirant explique les actes du prévenu, il ne les excuse pas. Se faire bousculer, toucher les fesses ou encore vouloir préserver sa place dans un bar ne saurait justifier une agression aussi sauvage. S’agissant des facteurs liés au prévenu, il convient de retenir, à charge, ses antécédents. Par ailleurs, son attitude en cours de procédure, consistant notamment à reporter la faute sur le plaignant, dénote une absence totale de prise de conscience. Le prévenu n’a exprimé ni excuse ni regret à l’endroit de la victime. Il est vrai que ces éléments sont à relativiser tant ils sont liés à la pathologie de l’intéressé. Néanmoins, même en tenant compte de sa vision délirante des intentions malveillantes d’autrui, il faut constater que celui-ci prend les devants de façon extrêmement violente et acharnée. A l’instar des premiers juges, la culpabilité de V.________ doit ainsi être qualifiée de particulièrement lourde. Pour le surplus, la peine à prononcer dans la présente cause est complémentaire à une peine privative de liberté de 11 mois prononcée le 8 mai 2013 et à une autre de 30 jours prononcée le 25 avril 2013. Ainsi, si l’ensemble des infractions avait fait l’objet d’un seul jugement, le juge aurait eu à sanctionner trois périodes de séjour illicite et deux agressions ayant causé trois blessés, dont un grave. Au regard des éléments qui précèdent, notamment de la culpabilité du prévenu, la peine complémentaire de 24 mois infligée par les premiers juges, fixant ainsi la peine d’ensemble à 36 mois, réprime adéquatement les agissements du prévenu. Elle doit donc être confirmée.</w:t>
      </w:r>
    </w:p>
    <w:p>
      <w:r>
        <w:rPr>
          <w:b/>
        </w:rPr>
        <w:t>E. 7</w:t>
      </w:r>
    </w:p>
    <w:p>
      <w:r>
        <w:t>L’appelant estime devoir bénéficier du sursis, au moins partiel.</w:t>
      </w:r>
    </w:p>
    <w:p>
      <w:r>
        <w:rPr>
          <w:b/>
        </w:rPr>
        <w:t>E. 7.1</w:t>
      </w:r>
    </w:p>
    <w:p>
      <w:r>
        <w:t>En cas de concours rétrospectif, la peine complémentaire ne peut être assortie du sursis à l’exécution si la durée totale de la ou des peines infligées auparavant, ajoutée à celle de la peine complémentaire, excède la durée maximale compatible avec l’octroi du sursis (TF 6B_1082/2010 du 18 juillet 2011).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7.2</w:t>
      </w:r>
    </w:p>
    <w:p>
      <w:r>
        <w:t>En l’espèce, la peine d’ensemble infligée totalise 36 mois, de sorte que la peine complémentaire de 24 mois ne peut être assortie que du sursis partiel. Avec les premiers juges, il faut considérer qu’à l’heure actuelle, le pronostic à poser quant au comportement futur de l’appelant est défavorable. Il y a en effet réitération d’infractions similaires et risque de récidive d’actes agressifs, en l’absence de traitement; le prévenu n’a pas pris conscience de la gravité de ses actes; il ne semble en outre pas vouloir quitter la Suisse. Enfin, les précédentes condamnations n’ont eu aucun effet sur lui. Dans ces conditions, la peine prononcée doit être entièrement ferme.</w:t>
      </w:r>
    </w:p>
    <w:p>
      <w:r>
        <w:rPr>
          <w:b/>
        </w:rPr>
        <w:t>E. 8</w:t>
      </w:r>
    </w:p>
    <w:p>
      <w:r>
        <w:t>En définitive, l’appel de V.________ doit être rejeté et le jugement entrepris intégralement confirmé.</w:t>
      </w:r>
    </w:p>
    <w:p>
      <w:r>
        <w:rPr>
          <w:b/>
        </w:rPr>
        <w:t>E. 9</w:t>
      </w:r>
    </w:p>
    <w:p>
      <w:r>
        <w:t>Vu l’issue de la cause, les frais d’appel, constitués de l’émolument d’arrêt, par 2’600 fr., et de l’indemnité allouée au défenseur d’office de l’appelant, par 4'449 fr. 60 , TVA et débours inclus, ainsi que celle allouée au conseil d’office de la partie plaignante, par 1'015 fr. 20 , TVA et débours inclus, sont mis à la charge de V.________. Ce dernier ne sera tenu de rembourser à l’Etat le montant des indemnités d'office précitées que lorsque sa situation financière le permettra (art. 135 al. 4 let. a CPP). S’agissant de l’indemnité réclamée part Me Fischer, on précisera que celui-ci a produit une liste d’opérations faisant état de 20h05 d’activité, hors temps d’audience (P. 83). Compte tenu de la nature de la cause et des opérations nécessaires pour la défense des intérêts de son client, il se justifie de tenir compte de 20 heures d’activité, durée de l’audience comprise. C’est donc un montant de 4'449 fr. 60, TVA et 520 fr. de débours compris, qui doit être alloué à Me Fischer à titre d’indemnité d’office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