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293 vom 27. August 2014</w:t>
      </w:r>
    </w:p>
    <w:p>
      <w:r>
        <w:t>VD Tribunal cantonal, 2014-08-27, FR</w:t>
      </w:r>
    </w:p>
    <w:p>
      <w:r>
        <w:rPr>
          <w:b/>
        </w:rPr>
        <w:t xml:space="preserve">Quelle: </w:t>
      </w:r>
      <w:r>
        <w:t>https://mcp.opencaselaw.ch/entscheid/vd_findinfo_Jug___2014___293</w:t>
      </w:r>
    </w:p>
    <w:p>
      <w:r>
        <w:t>FR: VD_FINDINFO Jug / 2014 / 293 du 27 août 2014</w:t>
      </w:r>
    </w:p>
    <w:p>
      <w:r>
        <w:t>IT: VD_FINDINFO Jug / 2014 / 293 del 27 agosto 2014</w:t>
      </w:r>
    </w:p>
    <w:p>
      <w:pPr>
        <w:pStyle w:val="Heading2"/>
      </w:pPr>
      <w:r>
        <w:t>Regeste</w:t>
      </w:r>
    </w:p>
    <w:p>
      <w:r>
        <w:t>RÉVISION{DÉCISION}, DÉCISION D'IRRECEVABILITÉ | 410 al. 1 let. a CPP (CH), 412 al. 2 CPP (CH)</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137 IV 59 c. 5.1.2 pp. 66 s; ATF 130 IV 72 c. 1; TF 6B_310/2011 c. 1.2).</w:t>
      </w:r>
    </w:p>
    <w:p>
      <w:r>
        <w:rPr>
          <w:b/>
        </w:rPr>
        <w:t>E. 1.2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édition, Schulthess § 2011, n. 2092, p. 679; Niggli/Wiprächtiger, Basler Kommentar, Schweizerische Strafprozessordnung Jungenstrafprozessordnung, Bâle 2011, n. 6 ad art. 411 CPP, p. 2731).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1.3</w:t>
      </w:r>
    </w:p>
    <w:p>
      <w:r>
        <w:t>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consid. 2.2). Celle jurisprudence s’applique aussi à une procédure de révision régie par le CPP (TF 6B_310/2011 du 20 juin 2011).</w:t>
      </w:r>
    </w:p>
    <w:p>
      <w:r>
        <w:rPr>
          <w:b/>
        </w:rPr>
        <w:t>E. 2</w:t>
      </w:r>
    </w:p>
    <w:p>
      <w:r>
        <w:t>En l’espèce, A.________ admet, dans sa requête (p. 4, ch. 14 à 22), que lorsque, le 20 décembre 2012, il a fait opposition à l'ordonnance du 30 juillet 2012, il savait que c'était son neveu qui conduisait lors des faits du 27 juin 2012, mais qu'il s'est "dit qu'il suffirait, lors de son audition à venir, qu'il explique le cas au Procureur". Il ne s'agit donc pas d'un élément de fait inconnu au sens de l'art. 410 al. 1 let. a CPP, lequel serait nouvellement parvenu à la connaissance du requérant. Celui-ci aurait dû révéler les faits pertinents qu'il connaissait dans le cadre de la procédure d'opposition à l'ordonnance pénale et sa requête est aujourd'hui tardive. Partant, la demande de révision est abusive, car elle repose sur un fait qu'A.________ connaissait initialement. Par ailleurs, il a été statué définitivement que le requérant avait reçu le pli contenant l'ordonnance pénale et qu'il n'a pas fait opposition à temps (CREP 17 janvier 2014/22 c. 2b p. 7). La demande de révision apparaît dès lors comme un moyen détourné de faire trancher ce qui n'a pas pu l'être. Pour le surplus, le moyen de preuve offert, soit le témoignage écrit de C.________, n'est pas sérieux, puisque le requérant, qui a fourni les informations permettant de déterminer ses revenus (pièce 5), a participé à la procédure sans contester les faits (pièce 4, p. 2). Ce témoignage est donc tardif et de complaisance.</w:t>
      </w:r>
    </w:p>
    <w:p>
      <w:r>
        <w:rPr>
          <w:b/>
        </w:rPr>
        <w:t>E. 3</w:t>
      </w:r>
    </w:p>
    <w:p>
      <w:r>
        <w:t>En définitive, la demande de révision présentée par A.________ est irrecevable. Vu l'issue de la cause, les frais de révision, par 440 fr. (art. 21 TFIP [Tarif des frais de procédure et indemnités en matière pénale du 28 septembre 2010, RSV 312.03.1], par renvoi de l'art. 22 TFIP) sont mis à sa charge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