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291 vom 25. März 2014</w:t>
      </w:r>
    </w:p>
    <w:p>
      <w:r>
        <w:t>VD Tribunal cantonal, 2014-03-25, FR</w:t>
      </w:r>
    </w:p>
    <w:p>
      <w:r>
        <w:rPr>
          <w:b/>
        </w:rPr>
        <w:t xml:space="preserve">Quelle: </w:t>
      </w:r>
      <w:r>
        <w:t>https://mcp.opencaselaw.ch/entscheid/vd_findinfo_Jug___2014___291</w:t>
      </w:r>
    </w:p>
    <w:p>
      <w:r>
        <w:t>FR: VD_FINDINFO Jug / 2014 / 291 du 25 mars 2014</w:t>
      </w:r>
    </w:p>
    <w:p>
      <w:r>
        <w:t>IT: VD_FINDINFO Jug / 2014 / 291 del 25 marzo 2014</w:t>
      </w:r>
    </w:p>
    <w:p>
      <w:pPr>
        <w:pStyle w:val="Heading2"/>
      </w:pPr>
      <w:r>
        <w:t>Regeste</w:t>
      </w:r>
    </w:p>
    <w:p>
      <w:r>
        <w:t>FIXATION DE LA PEINE, SURSIS PARTIEL À L'EXÉCUTION DE LA PEINE, SURSIS À L'EXÉCUTION DE LA PEINE, FRAIS JUDICIAIRES | 42 CP, 43 CP, 47 CP, 426 al. 1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B.________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la quotité de la peine infligée qu’il considère comme excessive et disproportionnée. Il fait grief aux premiers juges de ne pas avoir tenu compte de certains éléments prévus à l’art. 47 CP et d’avoir abusé de leur pouvoir d’appréciation.</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3.2</w:t>
      </w:r>
    </w:p>
    <w:p>
      <w:r>
        <w:t>En l’espèce, les premiers juges ont retenu que la culpabilité de B.________ était lourde. A charge, ils ont relevé qu’il avait profité de ses fonctions de curateur pour spolier son oncle et que, de surcroît, la succession allait être répudiée s’il ne remboursait pas son dû, ce qui allait jeter un discrédit sur le défunt. Ils ont également retenu que l’intéressé, même lorsque les liquidités le permettaient, n’avait pas réglé les diverses factures, au risque de faire perdre à son pupille sa place en EMS. Son attitude avait été détestable : il avait cherché à diluer sa responsabilité en minimisant ses actes; il avait fait valoir qu’aucune pièce ne pouvait chiffrer le dommage, alors même qu’il était responsable de l’absence de tout justificatif comptable. Informaticien spécialisé en logiciels comptables, il a compliqué l’instruction en rendant toute vérification impossible. Les premiers juges ont également tenu compte du fait que le prévenu avait tenté, soit en promettant qu’il allait effectuer des paiements, de gagner du temps en obtenant un renvoi d’audience de la Justice de paix, qu’il n’avait jamais produit les pièces en sa possession, prétextant notamment un conflit avec son bailleur, et qu’il soutenait que la Justice de paix l’avait poussé au crime alors qu’il n’avait manifestement pas été exhaustif dans la description de sa situation financière. En outre, ils ont considéré que les regrets présentés par le prévenu en audience visaient surtout sa propre personne et qu’il avait agi sur une longue période de façon égoïste en trompant sa famille et la confiance placée en lui par la justice. Seule sa négligence l’avait finalement arrêté. De surcroît, malgré de vagues promesses émises en audience, il ne s’était pas engagé dans un plan de remboursement concret, même modeste. Enfin, les premiers juges ont retenu ses antécédents pénaux. Pour le reste, ils ont relevé qu’il n’y avait pas d’éléments à décharge, hormis sa situation personnelle peu reluisante financièrement, la reconnaissance du montant à l’audience démontrant une minime prise de conscience et également le fait qu’il travaillait toujours malgré un problème de santé lui valant une rente. Procédant à sa propre appréciation de la culpabilité du prévenu, la Cour de céans fait sienne les éléments à charge et à décharge énumérés ci-dessus.</w:t>
      </w:r>
    </w:p>
    <w:p>
      <w:r>
        <w:rPr>
          <w:b/>
        </w:rPr>
        <w:t>E. 3.2.1</w:t>
      </w:r>
    </w:p>
    <w:p>
      <w:r>
        <w:t>L’appelant soutient avoir toujours eu la volonté de rembourser son oncle. Il a encore déclaré à l’audience d’appel qu’il comptait rembourser le préjudice estimé à 85'000 fr. à raison de 500 fr. par mois dès qu’il percevra sa rente AVS. Toutefois, à ce jour, rien n’a été versé à la succession de feu F.________ et aucune démarche concrète n’a été entreprise pour réduire le dommage. En outre, contrairement à ce que laisse entendre l’appelant, ce qui est déterminant, ce n’est pas le fait que des factures ont été réglées en retard ou que le montant des impayés de son oncle s’élève à 13'400 fr. environ, mais le fait qu’il s’est approprié l’argent de son pupille.</w:t>
      </w:r>
    </w:p>
    <w:p>
      <w:r>
        <w:rPr>
          <w:b/>
        </w:rPr>
        <w:t>E. 3.2.2</w:t>
      </w:r>
    </w:p>
    <w:p>
      <w:r>
        <w:t>L’appelant soutient que les premiers juges ont donné trop de poids à ses antécédents. Le jugement retient : « A charge, on retiendra les antécédents pénaux, dont notamment un concernant déjà une infraction patrimoniale en lien avec ses difficultés financières » (jgt., p. 25). Rien n’indique donc que les premiers juges ont donné trop de poids à ceux-ci dès lors qu’ils les ont juste évoqués. Au surplus, les problèmes personnels auxquels se réfère l’appelant ont été pris en compte dans le cadre de ses précédentes condamnations et ne sont quoi qu’il en soit pas pertinents dans le cadre de la fixation de la présente peine.</w:t>
      </w:r>
    </w:p>
    <w:p>
      <w:r>
        <w:rPr>
          <w:b/>
        </w:rPr>
        <w:t>E. 3.2.3</w:t>
      </w:r>
    </w:p>
    <w:p>
      <w:r>
        <w:t>L’appelant se prévaut de son comportement dans le cadre de la procédure pénale. S’il est vrai qu’il a admis lors de sa première audition avoir utilisé les sommes provenant de son pupille pour son usage personnel, on ne saurait encore retenir qu’il a facilité l’instruction. En effet, alors même que le prévenu est informaticien spécialisé dans les logiciels comptables, à défaut d’une quelconque comptabilité, l’ampleur exacte des détournements n’a pas pu être déterminée, raison pour laquelle les premiers juges s’en sont tenus aux aveux du prévenu, intervenus à l’audience de première instance seulement.</w:t>
      </w:r>
    </w:p>
    <w:p>
      <w:r>
        <w:rPr>
          <w:b/>
        </w:rPr>
        <w:t>E. 3.2.4</w:t>
      </w:r>
    </w:p>
    <w:p>
      <w:r>
        <w:t>Selon l’appelant, la peine devrait être atténuée du fait qu’il a été décrit comme coupable par la presse avant que tout jugement soit rendu à son encontre. Il allègue avoir été choqué de figurer en première page des journaux, notamment de « [...] ». En l’occurrence, le prévenu a reconnu les faits à l’audience de première instance, de sorte que la presse n’a pas violé sa présomption d’innocence en relatant ses déclarations, même avec quelques imprécisions, et en indiquant que le jugement sera rendu le jour suivant. En outre, contrairement à ce qu’il soutient, il n’est pas reconnaissable à travers l’article en question, dès lors qu’il n’est pas le seul informaticien endetté dans la région de [...]. Les conditions particulières pour une atténuation de la peine en raison d’une publication dans la presse préjugeant de sa responsabilité (cf. ATF 128 IV 97 c. 3b, JdT 2004 IV 123) ne sont dès lors pas remplies. Au surplus, le fait même que l’appelant ait été ébranlé d’être en première page des journaux démontre qu’il n’avait pas compris la gravité de ses actes auparavant. Enfin, le principe même de la publicité des débats implique que des comptes rendus puissent figurer dans la presse.</w:t>
      </w:r>
    </w:p>
    <w:p>
      <w:r>
        <w:rPr>
          <w:b/>
        </w:rPr>
        <w:t>E. 3.2.5</w:t>
      </w:r>
    </w:p>
    <w:p>
      <w:r>
        <w:t>L’appelant soutient qu’il y a lieu de tenir compte de son âge et de son état de santé, notamment son handicap au genou, comme éléments à décharge. Aucun élément au dossier ne permet de déterminer l’ampleur de cet handicap, si ce n’est le fait qu’il touche une rente de la SUVA. Quoi qu’il en soit, cette circonstance n’a aucun lien avec l’infraction dont il doit répondre aujourd’hui. Pour le reste, l’âge de 63 ans, n’est pas assez avancé pour que l’on doive en tenir compte et l’appelant n’invoque aucune maladie.</w:t>
      </w:r>
    </w:p>
    <w:p>
      <w:r>
        <w:rPr>
          <w:b/>
        </w:rPr>
        <w:t>E. 3.2.6</w:t>
      </w:r>
    </w:p>
    <w:p>
      <w:r>
        <w:t>L’appelant évoque l’impact de la peine sur son avenir. Selon lui, une peine privative de liberté ne serait d’aucune utilité, dès lors qu’il a pris conscience de la gravité de ses actes et qu’il pourra prochainement commencer à rembourser son dû, sa situation financière étant sur le point de se stabiliser. Cependant, rien n’indique qu’il a pris pleinement conscience de ses agissements, si ce n’est qu’il a reconnu le montant détourné. C’est ainsi à juste titre que les premiers juges ont parlé d’une « très discrète prise de conscience » (jgt., p. 29). Enfin, le fait de purger une peine de 7 mois n’impliquera pas forcément la perte son activité indépendante, des aménagements de peine étant en effet possibles.</w:t>
      </w:r>
    </w:p>
    <w:p>
      <w:r>
        <w:rPr>
          <w:b/>
        </w:rPr>
        <w:t>E. 3.2.7</w:t>
      </w:r>
    </w:p>
    <w:p>
      <w:r>
        <w:t>L’appelant fait valoir que la décision de la SUVA de réduire sa rente fin 2010 l’a pris par surprise, ce qui l’a contraint à agir dans l’urgence au vu de la précarité dans laquelle il se trouvait et à emprunter de l’argent à son oncle. Il soutient en outre qu’au vu de sa situation financière et de sa détresse personnelle, la Justice de paix n’aurait pas dû le nommer. En l’occurrence, il est vrai que les prestations de la SUVA ont varié entre 3'000 et 7'000 fr., soit 3’600 fr. en moyenne, et qu’en 2010, cette caisse d’assurance a rendu une décision arrêtant la rente de l’appelant à 1'900 fr. par mois. Néanmoins, ce versement ne constituait pas sa seule source de revenu, dans la mesure où il exerçait une activité accessoire de chauffeur lui rapportant 1'000 fr. par mois et effectuait divers mandats pour 4’000 fr. par an. Par ailleurs, ses charges sont faibles. Ainsi, la diminution de ses revenus ne pouvait en aucun cas justifier une mise en péril de la situation de son oncle. Enfin, concernant sa nomination par la Justice de paix, il convient de rappeler que le prévenu, qui a expressément consenti au mandat de curatelle, n’a jamais été exhaustif ni fait état de sa véritable situation financière.</w:t>
      </w:r>
    </w:p>
    <w:p>
      <w:r>
        <w:rPr>
          <w:b/>
        </w:rPr>
        <w:t>E. 3.3</w:t>
      </w:r>
    </w:p>
    <w:p>
      <w:r>
        <w:t>Il convient encore de rappeler que les actes de l’appelant sont objectivement graves. En effet, l’abus de confiance réalisé est celui prévu au chiffre 2 de l’art. 138 CP, soit le cas aggravé (commission par une personne membre d’une autorité), qui est sanctionné par une peine privative de liberté de 10 ans au plus ou d’une peine pécuniaire. Au regard de l’ensemble des circonstances, la durée de la peine infligée par les premiers juges paraît un peu trop sévère. Tout bien considéré, elle doit être arrêtée à 12 mois. S’agissant d’une peine de plus de 6 mois, le prononcé d’une peine de travail d’intérêt général est exclu (art. 37 al. 1 CP). Quoiqu’il en soit, l’appelant a déjà été condamné à trois reprises à des peines de travail d’intérêt général qui n’ont eu aucun impact sur lui.</w:t>
      </w:r>
    </w:p>
    <w:p>
      <w:r>
        <w:rPr>
          <w:b/>
        </w:rPr>
        <w:t>E. 4</w:t>
      </w:r>
    </w:p>
    <w:p>
      <w:r>
        <w:t>L’appelant estime que sa peine doit être assortie du sursis complet.</w:t>
      </w:r>
    </w:p>
    <w:p>
      <w:r>
        <w:rPr>
          <w:b/>
        </w:rPr>
        <w:t>E. 4.1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4.2</w:t>
      </w:r>
    </w:p>
    <w:p>
      <w:r>
        <w:t>En l’espèce, le pronostic à poser quant au comportement futur de l’appelant est mitigé, des doutes importants subsistants quant à son comportement futur. On ne saurait en effet considérer que le pronostic est entièrement défavorable, compte tenu de la légère prise de conscience intervenue en audience de jugement. Toutefois, il faut tenir compte du fait que l’appelant, qui a des antécédents, n’a pas cessé de se chercher des excuses, de s’apitoyer sur lui-même et de mettre la faute sur autrui. Il n’a en outre pas commencé à réparer le dommage, même de manière modeste. Dans ces conditions, seule l’exécution d’une partie de la peine est de nature à permettre son amendement et à le détourner de commettre de nouvelles infractions. La peine doit dès lors être assortie du sursis partiel. La partie ferme à exécuter sera toutefois arrêtée à 6 mois, le solde de 6 mois étant assorti d’un délai d’épreuve de trois ans.</w:t>
      </w:r>
    </w:p>
    <w:p>
      <w:r>
        <w:rPr>
          <w:b/>
        </w:rPr>
        <w:t>E. 5</w:t>
      </w:r>
    </w:p>
    <w:p>
      <w:r>
        <w:t>Se prévalant de sa libération de certains chefs d’accusation, l’appelant demande une réduction des frais de première instance mis à sa charge.</w:t>
      </w:r>
    </w:p>
    <w:p>
      <w:r>
        <w:rPr>
          <w:b/>
        </w:rPr>
        <w:t>E. 5.1</w:t>
      </w:r>
    </w:p>
    <w:p>
      <w:r>
        <w:t>Selon l'art. 426 al. 1 CPP, le prévenu supporte les frais de procédure s’il est condamné. Font exception les frais afférents à la défense d’office; l’art. 135 al. 4, est réservé. L’art. 426 al. 2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5.2</w:t>
      </w:r>
    </w:p>
    <w:p>
      <w:r>
        <w:t>En l’espèce, aucune opération d’instruction n’a été inutile pour déterminer les faits de la cause, de sorte que l’abandon de certains chefs d’accusation n’a eu aucun impact sur l’enquête ou l’audience de première instance. Par conséquent, il ne se justifie pas de réduire les frais judiciaires de première instance mis à la charge de l’appelant.</w:t>
      </w:r>
    </w:p>
    <w:p>
      <w:r>
        <w:rPr>
          <w:b/>
        </w:rPr>
        <w:t>E. 6</w:t>
      </w:r>
    </w:p>
    <w:p>
      <w:r>
        <w:t>En définitive, l’appel de B.________ doit être partiellement admis et le jugement entrepris réformé en ce sens qu’il est condamné à peine privative de liberté de 12 mois, dont 6 mois ferme, le solde de 6 mois étant assorti d'un sursis durant 3 ans.</w:t>
      </w:r>
    </w:p>
    <w:p>
      <w:r>
        <w:rPr>
          <w:b/>
        </w:rPr>
        <w:t>E. 7</w:t>
      </w:r>
    </w:p>
    <w:p>
      <w:r>
        <w:t>Vu l’issue de la cause, les frais d’appel, constitués de l’émolument d’arrêt, par 2’130 fr., et de l’indemnité allouée à son défenseur d'office d'un montant de 1'587 fr. 60, TVA et débours compris, doivent être mis par moitié à la charge de l’appelant. Ce dernier ne sera tenu de rembourser à l’Etat la moitié du montant de cette indemnité que lorsque sa situation financière le permettra. S’agissant de l’indemnité d’office, Me Laurent Maire a produit une liste d’opérations faisant état de 23h25 d’activité, hors temps d’audience, dont 1 heure effectuée par ses soins et le solde par son avocate-stagiaire (P. 82). Compte tenu de la nature de la cause, de la connaissance du dossier acquise en première instance et des opérations nécessaires à la défense des intérêts de son client, le temps consacré à la présente procédure est trop élevé. Tout bien considéré, il sera tenu compte d’une activité totale après audience de 1 heure pour Me Maire et de 11 heures pour sa stagiaire. C’est donc une indemnité de 1'587 fr. 60, correspondant à 1 heure à 180 fr. et 11 heures à 110 fr., plus la TVA et une vacation à 80 fr., qui doit être allouée à Me Maire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