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272 vom 18. September 2014</w:t>
      </w:r>
    </w:p>
    <w:p>
      <w:r>
        <w:t>VD Tribunal cantonal, 2014-09-18, FR</w:t>
      </w:r>
    </w:p>
    <w:p>
      <w:r>
        <w:rPr>
          <w:b/>
        </w:rPr>
        <w:t xml:space="preserve">Quelle: </w:t>
      </w:r>
      <w:r>
        <w:t>https://mcp.opencaselaw.ch/entscheid/vd_findinfo_Jug___2014___272</w:t>
      </w:r>
    </w:p>
    <w:p>
      <w:r>
        <w:t>FR: VD_FINDINFO Jug / 2014 / 272 du 18 septembre 2014</w:t>
      </w:r>
    </w:p>
    <w:p>
      <w:r>
        <w:t>IT: VD_FINDINFO Jug / 2014 / 272 del 18 settembre 2014</w:t>
      </w:r>
    </w:p>
    <w:p>
      <w:pPr>
        <w:pStyle w:val="Heading2"/>
      </w:pPr>
      <w:r>
        <w:t>Regeste</w:t>
      </w:r>
    </w:p>
    <w:p>
      <w:r>
        <w:t>DÉTENTION PROVISOIRE | 221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382 al. 1 CPP), et dans les formes prescrites (art. 385 al. 1 CPP), le recours est recevable.</w:t>
      </w:r>
    </w:p>
    <w:p>
      <w:r>
        <w:rPr>
          <w:b/>
        </w:rPr>
        <w:t>E. 2</w:t>
      </w:r>
    </w:p>
    <w:p>
      <w:r>
        <w:t>a) 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ou qu’il compromette sérieusement la sécurité d’autrui par des crimes ou des délits graves après avoir déjà commis des infractions du même genre (c). S’agissant des soupçons qui doivent peser sur le prévenu,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(TF 1B_39/2014 du 11 février 2014 c. 2.2; ATF 137 IV 122 c. 3.2 ). b) A ce stade de la procédure, les indices de culpabilité constatés antérieurement (CREP 20 mars 2014/222 c. 2b et CREP 19 juin 2014/421) existent toujours. Au demeurant, le recourant a désormais admis avoir détourné plus d'un million de francs au détriment de son ancien employeur (PV audition du 30 juin 2014, lignes 21 ss). Les conditions de l'art. 221 al.1 let. a CPP demeurent donc réunies.</w:t>
      </w:r>
    </w:p>
    <w:p>
      <w:r>
        <w:rPr>
          <w:b/>
        </w:rPr>
        <w:t>E. 3</w:t>
      </w:r>
    </w:p>
    <w:p>
      <w:r>
        <w:t>Le recourant allègue que le risque de fuite serait inexistant en raison de son âge (52 ans), de l'intensité de ses liens avec la Suisse, du fait qu'il se serait brouillé avec quasiment tous les membres de sa famille à la suite du décès de son père, et de sa volonté de réparer les conséquences dommageables de ses actes en se mettant spontanément au service de la justice. a)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 4a p. 70 et la jurisprudence citée). La gravité de l'infraction ne peut pas, à elle seule, justifier la prolongation de la détention, même si elle permet souvent de présumer un danger de fuite en raison de l'importance de la peine dont le prévenu est menacé (TF 1B_145/2012 du 19 avril 2012 c.</w:t>
      </w:r>
    </w:p>
    <w:p>
      <w:r>
        <w:rPr>
          <w:b/>
        </w:rPr>
        <w:t>E. 3.1</w:t>
      </w:r>
    </w:p>
    <w:p>
      <w:r>
        <w:t>et les références citées). b) Les arguments de P.________ se heurtent aux éléments du dossier déjà mis en exergue dans les ordonnances des 6 mars et 4 juin 2014, confirmées par l'autorité de céans (CREP 20 mars 2014/146 c. 3b et  CREP 19 juin 2014/421, à ce jour en force), ordonnances qui constataient la réalité d'un risque de fuite. La situation n'ayant guère évolué sur ce point depuis ces arrêts, il peut être renvoyé à leurs considérants, qui demeurent d'actualité et conservent toute leur pertinence.</w:t>
      </w:r>
    </w:p>
    <w:p>
      <w:r>
        <w:rPr>
          <w:b/>
        </w:rPr>
        <w:t>E. 4</w:t>
      </w:r>
    </w:p>
    <w:p>
      <w:r>
        <w:t>P.________ prétend que le risque de collusion n'aurait jamais existé, dès lors qu'il aurait agi seul; il ajoute qu'en tout état de cause, ce risque aurait disparu, aux motifs qu'il aurait coupé tout contact avec les gens qu'il voyait sur son lieu de travail et qu'il ressortirait de certaines communications du Ministère public que les mesures d'instruction seraient quasiment achevées. a) Selon l’art. 221 al. 1 let. b CPP, le maintien en détention provisoire se justifie lorsqu’il y a sérieusement lieu de craindre que le prévenu compromette la recherche de la vérité en exerçant une influence sur des personnes ou en altérant des moyens de preuve. Ce motif de détention avant jugement, souvent appelé «risque de collusion»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in: Kuhn/Jeanneret [éd.], Commentaire romand, Code de procédure pénale suisse, Bâle 2011, n. 14 et 15 ad art. 221 CPP; cf. ATF 137 IV 122 c. 6.2 et 6.4) – vise à garantir la constatation exacte et complète des faits. b) A ce stade de l'enquête, il reste des mesures d'instruction importantes à mener, pour notamment cerner clairement l'affectation des fonds détournés par le prévenu. Les explications qu'il a fournies à ce sujet, sont pour le moins sujettes à caution (cf. procès-verbal d'audition du 30 juin 2014 et conclusions du rapport de police du 24 juillet 2014). Les démarches s'avèrent difficiles dans la mesure où une partie des fonds a été envoyée au Togo. Libre, le recourant pourrait prendre des mesures pour entraver ces recherches et supprimer toutes perspectives de retrouver les fonds détournés. Un risque de collusion demeure donc réel. On relèvera toutefois qu'il appartiendra au Procureur de faire en sorte que ces démarches aboutissent prochainement à des éléments concrets, faute de quoi elles pourraient plus être invoquées pour justifier l'existence d'un risque de collusion.</w:t>
      </w:r>
    </w:p>
    <w:p>
      <w:r>
        <w:rPr>
          <w:b/>
        </w:rPr>
        <w:t>E. 5</w:t>
      </w:r>
    </w:p>
    <w:p>
      <w:r>
        <w:t>P.________ prétend que des mesures de substitution pourraient être prononcées en lieu et place de son maintien en détention provisoire. Il ajoute que l'autorité inférieure aurait violé le droit et le principe de la proportionnalité en n'examinant pas les mesures de substitution qu'il a préconisées et auxquelles il s'est dit disposé à se soumettre. a)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b) En l’espèce, on peut concéder au recourant que les mesures de substitution proposées seraient sans doute de nature à parer le risque de fuite. En revanche, on constatera, comme dans le précédent arrêt (CREP 19 juin 2014/421), que ces mesures ne sont pas aptes à parer efficacement le risque de collusion retenu, de sorte que c'est à bon droit que le Tribunal des mesures de contrainte a estimé que le prévenu devait rester en détention.</w:t>
      </w:r>
    </w:p>
    <w:p>
      <w:r>
        <w:rPr>
          <w:b/>
        </w:rPr>
        <w:t>E. 6</w:t>
      </w:r>
    </w:p>
    <w:p>
      <w:r>
        <w:t>a) La détention provisoire doit encore être conforme au principe de la proportionnalité. Cette condition, qui doit être examinée au regard de l’ensemble des circonstances concrètes du cas d’espèce, implique en particulier que le juge ne peut maintenir la détention provisoire qu’aussi longtemps qu’elle n’est pas très proche de la durée de la peine privative de liberté à laquelle il faut s’attendre concrètement en cas de condamnation (art. 212 al. 3 CPP; cf. ATF 133 I 168 c. 4.1; ATF 132 I 21 c. 4.1). Toutefois, le fait que la peine encourue puisse être assortie du sursis, total ou partiel, n'est pas déterminant sous l'angle de la proportionnalité (ATF 133 I 270 c. 3.4.2). b) Au vu de la gravité des charges qui pèsent sur le recourant, ce dernier s'expose à une peine privative de liberté d’une durée manifestement supérieure à celle de la détention provisoire subie à ce jour. La prolongation de sa détention de trois mois supplémentaires, au plus tard jusqu'au 4 décembre 2014, demeure donc proportionnée.</w:t>
      </w:r>
    </w:p>
    <w:p>
      <w:r>
        <w:rPr>
          <w:b/>
        </w:rPr>
        <w:t>E. 7</w:t>
      </w:r>
    </w:p>
    <w:p>
      <w:r>
        <w:t>En définitive, le recours, manifestement mal fondé, doit être rejeté sans autres échanges d'écritures (art. 390 al. 2 CPP) et l'ordonnance du 4 septembre confirmée. L’indemnité due au défenseur d’office du recourant sera fixée à 630 fr., plus la TVA, par 50 fr. 40, ce qui porte le montant alloué à 680 fr. 40. Les frais de la procédure de recours, soit les frais d’arrêt, par 880 fr. (art. 20 al. 1 TFIP [Tarif des frais de procédure et indemnités en matière pénale du 28 septembre 2010, RSV 312.03.1]), ainsi que les frais imputables à la défense d’office (art. 422 al. 1 et al. 2 let. a CPP), par 680 fr. 40,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4 septembre 2014 est confirmée. III. L’indemnité due au défenseur d’office de P.________ est fixée à 680 fr. 40 (six cent huitante francs et quarante centimes). IV. Les frais d’arrêt, par 880 fr. (huit cent huitante francs), ainsi que l’indemnité due au défenseur d’office de P.________ par 680 fr. 40 (six cent huitante francs et quarante centimes), sont mis à la charge de ce dernier. V. Le remboursement à l’Etat de l’indemnité allouée au chiffre III ci-dessus sera exigible pour autant que la situation économique de P.________ se soit améliorée. VI. Le présent arrêt est exécutoire. Le président :               La greffière : Du L'arrêt qui précède, dont la rédaction a été approuvée à huis clos, est notifié, par l'envoi d'une copie complète, à : - Me Fabien Hohenauer, avocat (pour P.________ - Ministère public central ;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