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271 vom 16. Mai 2014</w:t>
      </w:r>
    </w:p>
    <w:p>
      <w:r>
        <w:t>VD Tribunal cantonal, 2014-05-16, FR</w:t>
      </w:r>
    </w:p>
    <w:p>
      <w:r>
        <w:rPr>
          <w:b/>
        </w:rPr>
        <w:t xml:space="preserve">Quelle: </w:t>
      </w:r>
      <w:r>
        <w:t>https://mcp.opencaselaw.ch/entscheid/vd_findinfo_Jug___2014___271</w:t>
      </w:r>
    </w:p>
    <w:p>
      <w:r>
        <w:t>FR: VD_FINDINFO Jug / 2014 / 271 du 16 mai 2014</w:t>
      </w:r>
    </w:p>
    <w:p>
      <w:r>
        <w:t>IT: VD_FINDINFO Jug / 2014 / 271 del 16 maggio 2014</w:t>
      </w:r>
    </w:p>
    <w:p>
      <w:pPr>
        <w:pStyle w:val="Heading2"/>
      </w:pPr>
      <w:r>
        <w:t>Regeste</w:t>
      </w:r>
    </w:p>
    <w:p>
      <w:r>
        <w:t>PARTIE CIVILE, CONDITION DE RECEVABILITÉ, INDEMNITÉ POUR DÉTENTION | 118 CPP (CH), 123 CPP (CH), 431 CPP (CH), 448 al. 1 CPP (CH)</w:t>
      </w:r>
    </w:p>
    <w:p>
      <w:pPr>
        <w:pStyle w:val="Heading2"/>
      </w:pPr>
      <w:r>
        <w:t>Erwägungen</w:t>
      </w:r>
    </w:p>
    <w:p>
      <w:r>
        <w:rPr>
          <w:b/>
        </w:rPr>
        <w:t>E. 1</w:t>
      </w:r>
    </w:p>
    <w:p>
      <w:r>
        <w:t>Interjeté en temps utile (art. 399 al. 1 et 3 CPP [Code de procédure pénale suisse du 5 octobre 2007, RS 312.0]), l’appel satisfait en outre aux exigences de motivation prévues à l’art. 399 al. 3 et 4 CPP, de sorte qu’il est recevable. L’appel relève de la procédure écrite, dès lors qu’il porte uniquement sur des points de droit ainsi que sur la question de l’octroi d’une indemnité pour conditions illicites de détention (art. 406 al. 1 let. a et d CPP).</w:t>
      </w:r>
    </w:p>
    <w:p>
      <w:r>
        <w:rPr>
          <w:b/>
        </w:rPr>
        <w:t>E. 2</w:t>
      </w:r>
    </w:p>
    <w:p>
      <w:r>
        <w:t>L’appelant soutient que la plaignante P.________ ne pouvait prendre de conclusions civiles, dès lors qu’elle ne s’était pas valablement constituée partie civile en temps utile.</w:t>
      </w:r>
    </w:p>
    <w:p>
      <w:r>
        <w:rPr>
          <w:b/>
        </w:rPr>
        <w:t>E. 2.1</w:t>
      </w:r>
    </w:p>
    <w:p>
      <w:r>
        <w:t>Selon l’art. 448 CPP, les procédures pendantes au moment de l’entrée en vigueur du CPP fédéral se poursuivent normalement selon le nouveau droit (al. 1). Toutefois, les actes de procédure ordonnés ou accomplis avant l’entrée en vigueur du CPP conservent leur validité (al. 2). Il doit en aller de même de la constitution de partie à la procédure, qui peut être assimilée à un acte de procédure dont les effets sont destinés à durer. Aux termes de l’art. 93 aCPP-VD (Code vaudois de procédure pénale du 12 septembre 1967, abrogé par l'entrée en vigueur du code de procédure pénale suisse du 5 octobre 2007), celui qui avait un intérêt civil au procès pouvait y intervenir en tout état de cause, et jusqu’à la clôture des débats, en se constituant partie civile. L’art. 94 aCPP-VD prévoyait en outre que le plaignant était de plein droit partie civile. Le nouvel art. 118 CPP précise qu’on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Conformément à la volonté du législateur et aux avis doctrinaux, on doit admettre que la personne qui dépose plainte pénale se constitue demanderesse à la fois au pénal et au civil (FF 2006 p. 1150; Schmid, StPO, Praxis Kommentar, 2 e éd. Zurich 2011, n° 5 ad art. 119 CPP et n° 4 ad 120 CPP; Jeandin/Matz, in Commentaire romand, Bâle 2011, n° 11 ad art. 118 CPP). L’art. 123 CPP prévoit que dans la mesure du possible, la partie plaignante chiffre ses conclusions civiles dans sa déclaration et les motive par écrit; elle cite les moyens de preuves qu’elle entend invoquer (al. 1). Le calcul et la motivation des conclusions civiles doivent être présentés au plus tard durant les plaidoiries (al. 2).</w:t>
      </w:r>
    </w:p>
    <w:p>
      <w:r>
        <w:rPr>
          <w:b/>
        </w:rPr>
        <w:t>E. 2.2</w:t>
      </w:r>
    </w:p>
    <w:p>
      <w:r>
        <w:t>En l'occurrence, l’intimée a déposé plainte pénale le 3 août 2010, se constituant ainsi valablement demanderesse tant sur le plan pénal que civil, que ce soit en application de l'ancien code de procédure cantonal ou de la nouvelle procédure fédérale. Par ailleurs, elle a chiffré ses prétentions avant l’audience de première instance, soit en temps utile au regard du prescrit de l’art. 123 al. 2 CPP. Partant, l’appelant était en mesure de se prononcer sur ces prétentions lors des débats devant le Tribunal de police. En outre, quand bien même il n’aurait pas été rendu attentif au dépôt des conclusions civiles par la partie plaignante, il a pu valablement exercer ses droits et faire valoir tous ses arguments dans le cadre de la présente procédure, de sorte que tout éventuel vice aura été valablement réparé. Cela étant, c'est à juste titre que le premier juge a alloué à P.________ ses conclusions civiles, celles-ci étant au demeurant valablement étayées par pièces (cf. annexe ad P. 56).</w:t>
      </w:r>
    </w:p>
    <w:p>
      <w:r>
        <w:rPr>
          <w:b/>
        </w:rPr>
        <w:t>E. 3</w:t>
      </w:r>
    </w:p>
    <w:p>
      <w:r>
        <w:t>CEDH.</w:t>
      </w:r>
    </w:p>
    <w:p>
      <w:r>
        <w:rPr>
          <w:b/>
        </w:rPr>
        <w:t>E. 3.1</w:t>
      </w:r>
    </w:p>
    <w:p>
      <w:r>
        <w:t>Dans son 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arrêt du 1 er juillet 2014 (cf. TF 6B_17/2014),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Le Tribunal fédéral a laissé indécise la question de savoir si la réparation pouvait prendre la forme d’une réduction de peine.</w:t>
      </w:r>
    </w:p>
    <w:p>
      <w:r>
        <w:rPr>
          <w:b/>
        </w:rPr>
        <w:t>E. 3.2</w:t>
      </w:r>
    </w:p>
    <w:p>
      <w:r>
        <w:t>En l'occurrence, Q.________ a passé 20 jours dans une cellule de la Police municipale de Lausanne, en sus des 48 heures prévues par l'art. 27 LVCPP (Loi vaudoise d'introduction du Code de procédure pénale suisse du 19 mai 2009, RSV 312.01). Au regard des conditions de détention qu'il a subies et de l’attestation du CHUV, l'allocation d'un montant de 50 fr. par jour à titre de tort moral se justifie, soit 1'000 fr. au total, la somme de 100 fr. par jour réclamée n'étant aucunement fondée au regard de l'intensité du tort moral subi.</w:t>
      </w:r>
    </w:p>
    <w:p>
      <w:r>
        <w:rPr>
          <w:b/>
        </w:rPr>
        <w:t>E. 4</w:t>
      </w:r>
    </w:p>
    <w:p>
      <w:r>
        <w:t>En définitive, l'appel doit être partiellement admis en ce sens que l'Etat de Vaud est condamné à verser à Q.________ un montant de 1'000 fr. à titre de réparation du tort moral. Il sera rejeté pour le surplus. Les frais d'appel, constitués de l'émolument d'arrêt (cf. art. 21 al. 1 TFIP  [Tarif des frais de procédure et indemnités en matière pénale du 28 septembre 2010, RSV 312.03.1]), par 880 fr., des frais liés au prononcé rendu le 30 mai 2014 dans le cadre de la demande de mise en liberté formée par Q.________, par 450 fr., et de l'indemnité allouée au défenseur d'office de l'appelant, par 993 fr. 60, TVA et débours inclus, doivent être mis pour moitié à la charge de Q.________, qui succombe partiellement (art. 428 al. 1 CPP). Il n'y a pas lieu d'allouer d'indemnité à l'intimée, celle-ci n'ayant pas chiffré ni justifié ses prétentions (art. 433 al. 2 CPP). Le prévenu ne sera tenu de rembourser à l'Etat la moitié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