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264 vom 10. März 2014</w:t>
      </w:r>
    </w:p>
    <w:p>
      <w:r>
        <w:t>VD Tribunal cantonal, 2014-03-10, FR</w:t>
      </w:r>
    </w:p>
    <w:p>
      <w:r>
        <w:rPr>
          <w:b/>
        </w:rPr>
        <w:t xml:space="preserve">Quelle: </w:t>
      </w:r>
      <w:r>
        <w:t>https://mcp.opencaselaw.ch/entscheid/vd_findinfo_Jug___2014___264</w:t>
      </w:r>
    </w:p>
    <w:p>
      <w:r>
        <w:t>FR: VD_FINDINFO Jug / 2014 / 264 du 10 mars 2014</w:t>
      </w:r>
    </w:p>
    <w:p>
      <w:r>
        <w:t>IT: VD_FINDINFO Jug / 2014 / 264 del 10 marzo 2014</w:t>
      </w:r>
    </w:p>
    <w:p>
      <w:pPr>
        <w:pStyle w:val="Heading2"/>
      </w:pPr>
      <w:r>
        <w:t>Regeste</w:t>
      </w:r>
    </w:p>
    <w:p>
      <w:r>
        <w:t>VOL{DROIT PÉNAL}, UTILISATION FRAUDULEUSE D'UN ORDINATEUR, FIXATION DE LA PEINE | 139 ch. 1 CP, 139 ch. 2 CP, 139 ch. 3 CP, 147 CP, 22 ad 139 CP, 47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Interjetés dans les formes et délais légaux par une partie ayant qualité pour recourir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(let. a) pour violation du droit, y compris l’excès et l’abus du pouvoir d’appréciation, le déni de justice et le retard injustifié, (let. b) pour constatation incomplète ou erronée des faits et (let.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ne conteste ni les faits, ni leur qualification juridique mais invoque une violation de l’art. 47 CP et une inégalité de traitement entre sa condamnation et celle de son comparse V.________ qui a été condamné à une peine privative de liberté de 30 mois. Il rappelle que le Ministère public avait requis la même peine pour ce prévenu et lui, soit 30 mois de peine privative de liberté.</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rPr>
          <w:b/>
        </w:rPr>
        <w:t>E. 3.1.2</w:t>
      </w:r>
    </w:p>
    <w:p>
      <w:r>
        <w:t>En l’espèce, la culpabilité de X.________ est lourde. Son activité délictuelle et celle de ses comparses doivent être qualifiées d’intenses. En effet, sur une période de quatre semaines, le trio est venu en Suisse à cinq reprises depuis Marseille (à quatre reprises pour V.________), dans l’unique but de détrousser des personnes sans défense et de retirer grâce aux cartes bancaires subtilisées, un maximum d’argent. Les trois hommes ont agi de manière professionnelle, chacun connaissant parfaitement le rôle qu’il avait à jouer. Les victimes n’étaient pas choisies au hasard et les établissements bancaires non plus. Les prévenus ont à chaque fois agi dans une succursale d’E.________ SA, car Z.________ avait noté que cet établissement bancaire distribuait la plus grande somme d’argent en retrait. Il ne ressort du dossier aucune circonstance atténuante légale. L’appelant se prévaut d’un bon comportement en détention. Ce fait, qui n'a rien d'exceptionnel, est un élément neutre concernant la fixation de la peine. L’appelant invoque également une addiction au jeu, cependant celle-ci n’est nullement documentée. Par ailleurs, X.________ ne soutient pas que le butin a été exclusivement destiné à la satisfaction de son vice. Selon lui, cet argent a été dévolu aux dépenses familiales ainsi qu’au jeu, de sorte que l’on ne peut rien tirer de concret de cet argument (PV aud. 3, p. 4). Il faut, en revanche, donner acte à l’appelant qu’il a bien collaboré à l’enquête et qu’il a assumé ses délits à l’instar de ses comparses comme le retient de manière parfaitement claire le jugement entrepris.</w:t>
      </w:r>
    </w:p>
    <w:p>
      <w:r>
        <w:rPr>
          <w:b/>
        </w:rPr>
        <w:t>E. 3.2</w:t>
      </w:r>
    </w:p>
    <w:p>
      <w:r>
        <w:t>L’appelant se réclame d’un arrêt de la Cour de céans qui a réduit de six mois une peine privative de liberté de 36 mois pour des faits qui seraient similaires (CAPE</w:t>
      </w:r>
    </w:p>
    <w:p>
      <w:r>
        <w:rPr>
          <w:b/>
        </w:rPr>
        <w:t>E. 3.3</w:t>
      </w:r>
    </w:p>
    <w:p>
      <w:r>
        <w:t>L’appelant met en avant une situation personnelle difficile. En l’espèce, les premiers juges n’ont pas méconnu la situation personnelle de X.________, puisqu’il l’ont considérée comme un élément à décharge (jgt., p. 25). On peut observer à cet égard que la charge de huit enfants, dont plusieurs sont aujourd’hui majeurs, n’a pas été un frein à la délinquance de l’intéressé, de sorte que cet élément doit être relativisé. On ne peut davantage faire grief aux premiers juges d’avoir considéré que les excuses formulées étaient « de pure forme ». Comme relevé dans le jugement attaqué, l’appelant est un truand à l’ancienne qui reconnaît et assume ses actes en collaborant et en admettant les conclusions civiles. Lorsque l’on a été condamné à 16 reprises pour des délits similaires, les excuses formulées par un personne de 53 ans sont effectivement de pure forme.</w:t>
      </w:r>
    </w:p>
    <w:p>
      <w:r>
        <w:rPr>
          <w:b/>
        </w:rPr>
        <w:t>E. 3.4</w:t>
      </w:r>
    </w:p>
    <w:p>
      <w:r>
        <w:t>Au vu de ce qui précède et procédant ainsi à sa propre appréciation de l’affaire, la Cour de céans considère qu’au vu du professionnalisme de l’appelant, de son ancrage dans la délinquance mais en tenant compte aussi de ses aveux et de sa situation personnelle comme éléments à décharge, la peine de 36 mois correspond à la culpabilité de l’appelant. Enfin, il reste à déterminer si cette peine de 6 mois supérieure à celle de son comparse se justifie ou non. En l’espèce, il faut relever les observations suivantes : sous l’angle des aveux, les deux comparses sont à égalité ; les deux complices ont presque le même âge (55 ans pour V.________ et 53 ans pour X.________) ; sous l’angle des antécédents, ceux de X.________ sont nettement en sa défaveur comparés à ceux de son comparse (trois condamnations pour V.________ et 16 condamnations pour l’appelant) ; concernant les faits, X.________ occupe effectivement la première place ou bien plutôt celle de meneur. En effet, c’est lui qui a eu l’idée de commettre ces vols en Suisse. C’est également lui qui a pris tous les risques en subtilisant avec maestria les cartes bancaires des lésés après les avoir choisis (PV aud. 7, p. 3), les comparses étant relégués ici à l’arrière-plan. L’appelant était donc le maillon essentiel, car sans lui la bande n’obtenait pas d’argent. C’est également lui qui s’occupait de distribuer l’argent (PV aud. 9, lignes 84-85) et de tenir les comptes de la bande. Enfin, par rapport à V.________, dont l’appelant dit de lui qu’ « il ne faisait rien de spécial dans l’établissement bancaire » (PV aud. 9, lignes 78-79), il doit répondre de deux vols supplémentaires commis en compagnie de Z.________. Pour le surplus, l’argument tiré de la « bande » n’implique pas que tous soient traités sur un plan d’égalité. Il est notoire que dans toute bande, il y a un motivateur. C’est donc à juste titre que les premiers juges ont distingué les peines de l’appelant et de V.________. 4. En définitive, l'appel de X.________ doit être rejeté et le jugement attaqué intégralement confirmé . Vu l’issue de la cause, les frais d’appel constitués de l’émolument d’arrêt, par 1’610 fr., et de l’indemnité allouée au défenseur d’office de X.________, par 2'249 fr. 05, sont mis à la charge de ce dernier (art. 428 al. 1 CPP). L’appelant ne sera tenu de rembourser à l’Etat l’indemnité en faveur de son défenseur d’office que lorsque sa situation financière le permettra (art. 135 al. 4 let. a CPP).</w:t>
      </w:r>
    </w:p>
    <w:p>
      <w:r>
        <w:rPr>
          <w:b/>
        </w:rPr>
        <w:t>E. 8</w:t>
      </w:r>
    </w:p>
    <w:p>
      <w:r>
        <w:t>janvier 2013/10). Il se prévaut notamment du fait que, dans ce cas, les auteurs avaient obtenu un  butin de 70'000 francs, soit environ le double de ce qui lui est reproché. En l’espèce, ce moyen est mal fondé. Des comparaisons avec d’autres affaires, même similaires, ne permettent pas encore de soutenir que la peine infligée est trop sévère. Les disparités en cette matière s'expliquent normalement par le principe de l'individualisation des peines, voulu par le législateur (TF 6B_73/2012 c. 2.3.2 et les références citées). On peut tout au plus objecter, s’agissant du butin obtenu par les trois hommes, qu’il y a eu quatorze tentatives non abouties en Suisse allemande en raison de la langue et que c’est l’arrestation de l’appelant qui a mis fin à son activité délictueuse.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