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259 vom 8. April 2014</w:t>
      </w:r>
    </w:p>
    <w:p>
      <w:r>
        <w:t>VD Tribunal cantonal, 2014-04-08, FR</w:t>
      </w:r>
    </w:p>
    <w:p>
      <w:r>
        <w:rPr>
          <w:b/>
        </w:rPr>
        <w:t xml:space="preserve">Quelle: </w:t>
      </w:r>
      <w:r>
        <w:t>https://mcp.opencaselaw.ch/entscheid/vd_findinfo_Jug___2014___259</w:t>
      </w:r>
    </w:p>
    <w:p>
      <w:r>
        <w:t>FR: VD_FINDINFO Jug / 2014 / 259 du 8 avril 2014</w:t>
      </w:r>
    </w:p>
    <w:p>
      <w:r>
        <w:t>IT: VD_FINDINFO Jug / 2014 / 259 del 8 aprile 2014</w:t>
      </w:r>
    </w:p>
    <w:p>
      <w:pPr>
        <w:pStyle w:val="Heading2"/>
      </w:pPr>
      <w:r>
        <w:t>Regeste</w:t>
      </w:r>
    </w:p>
    <w:p>
      <w:r>
        <w:t>CONSTATATION DES FAITS, CIRCULATION ROUTIÈRE{DROIT DE LA CIRCULATION ROUTIÈRE}, CONDUITE EN ÉTAT D'IVRESSE, FIXATION DE LA PEINE, SURSIS À L'EXÉCUTION DE LA PEINE, RÉVOCATION DU SURSIS | 42 CP, 46 CP, 47 CP, 398 al. 3 let. b CPP (CH)</w:t>
      </w:r>
    </w:p>
    <w:p>
      <w:pPr>
        <w:pStyle w:val="Heading2"/>
      </w:pPr>
      <w:r>
        <w:t>Erwägungen</w:t>
      </w:r>
    </w:p>
    <w:p>
      <w:r>
        <w:rPr>
          <w:b/>
        </w:rPr>
        <w:t>E. 1</w:t>
      </w:r>
    </w:p>
    <w:p>
      <w:r>
        <w:t>Interjeté dans les formes et délais légaux (art. 399 CPP) par une partie ayant la qualité pour recourir contre le jugement d’un tribunal de première instance ayant clos la procédure (art. 398 al. 1 CPP), l’appel d’O.________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L’appelant invoque une appréciation erronée des faits. Il fait valoir en premier lieu que l’excès de vitesse mentionné au paragraphe 3 du jugement entrepris n’a pas eu lieu récemment, mais en juillet 2013. Il soutient ensuite que c’est à tort que le premier juge a retenu que son activité professionnelle dans le domaine de la vie nocturne ne laissait rien présager de bon.</w:t>
      </w:r>
    </w:p>
    <w:p>
      <w:r>
        <w:rPr>
          <w:b/>
        </w:rPr>
        <w:t>E. 3.1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w:t>
      </w:r>
    </w:p>
    <w:p>
      <w:r>
        <w:rPr>
          <w:b/>
        </w:rPr>
        <w:t>E. 3.2</w:t>
      </w:r>
    </w:p>
    <w:p>
      <w:r>
        <w:t>En l’espèce, le jugement de première instance ne contient aucun fait erroné. En effet, le paragraphe 3 du jugement mentionne que l’excès de vitesse a été sanctionné, et non pas commis, récemment. De toute manière, juillet 2013 est une période récente sous l’angle des antécédents et celui-là ne joue pratiquement aucun rôle s’agissant d’une contravention. Quant à la référence à l’activité professionnelle de l’appelant, il s’agit d’une appréciation portant sur le risque de récidive et non sur un fait. Mal fondé, ce premier grief doit être rejeté.</w:t>
      </w:r>
    </w:p>
    <w:p>
      <w:r>
        <w:rPr>
          <w:b/>
        </w:rPr>
        <w:t>E. 4</w:t>
      </w:r>
    </w:p>
    <w:p>
      <w:r>
        <w:t>L’appelant conteste ensuite la culpabilité retenue à son encontre par le premier juge et, partant, la quotité de la peine. Il soutient qu’il est encore digne d’une mesure de clémence, le taux d’alcoolémie et les circonstances de la conduite en état d’ivresse ne montrant pas une faute lourde.</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w:t>
      </w:r>
    </w:p>
    <w:p>
      <w:r>
        <w:rPr>
          <w:b/>
        </w:rPr>
        <w:t>E. 4.2</w:t>
      </w:r>
    </w:p>
    <w:p>
      <w:r>
        <w:t>En l’espèce, à l’instar du premier juge, la culpabilité d’O.________ doit être qualifiée de significative. Ce dernier a récidivé dans le délai d’épreuve en commettant, de surcroît, une infraction identique. Le taux d’alcoolémie est qualifié. Quoi qu’en dise l’appelant, il a accepté de prendre le volant au petit matin en compagnie de tiers après avoir bu plusieurs verres d’alcool. A décharge, il convient de prendre en considération sa situation personnelle, notamment le fait qu’il travaille en parallèle à ses études pour subvenir à ses besoins. Enfin, s’agissant des excuses présentées en cours de procédure, elles ne sauraient, contrairement à ce que soutient l’appelant, être considérées comme une circonstance atténuante au sens de l’art. 48 let. d CP. Au regard des éléments qui précèdent, la peine pécuniaire de 20 jours-amende prononcée par le premier juge est adéquate et doit être confirmée. Il en va de même du montant du jour-amende, qui n’est au demeurant pas remis en cause.</w:t>
      </w:r>
    </w:p>
    <w:p>
      <w:r>
        <w:rPr>
          <w:b/>
        </w:rPr>
        <w:t>E. 5</w:t>
      </w:r>
    </w:p>
    <w:p>
      <w:r>
        <w:t>L’appelant conteste enfin le refus du sursis. Il fait valoir qu’un pronostic défavorable ne peut pas être posé à son encontre. Pour ce motif également, il soutient que le sursis octroyé le 19 janvier 2012 ne doit pas être révoqué.</w:t>
      </w:r>
    </w:p>
    <w:p>
      <w:r>
        <w:rPr>
          <w:b/>
        </w:rPr>
        <w:t>E. 5.1.1</w:t>
      </w:r>
    </w:p>
    <w:p>
      <w:r>
        <w:t>Selon l’art. 42 al. 1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nouveau droit pose des exigences moins élevées quant au pronostic pour l'octroi du sursis. Auparavant, il fallait que le pronostic soit favorable. Le sursis est désormais la règle dont on ne peut s'écarter qu'en présence d'un pronostic défavorable. Il prime en cas d'incertitude (ATF 135 IV 180 c. 2.1 ; ATF 134 IV 1 c. 4.2.2 ; TF 6B_348/2014 du 19 juin 2014 c. 2).</w:t>
      </w:r>
    </w:p>
    <w:p>
      <w:r>
        <w:rPr>
          <w:b/>
        </w:rPr>
        <w:t>E. 5.1.2</w:t>
      </w:r>
    </w:p>
    <w:p>
      <w:r>
        <w:t>Lorsque le juge est appelé à connaître d'un crime ou d'un délit que l'auteur a commis après une précédente condamnation à une peine assortie du sursis, il est également compétent pour statuer sur la révocation de ce dernier (art. 46 al. 3 CP). Il doit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(art. 46 al. 1 CP). Cette dernière condition implique l'existence d'un pronostic défavorable quant au comportement futur du condamné (ATF 134 IV 140 c. 4.3). Elle correspond donc à l'une des conditions de l'octroi du sursis, de sorte que, comme dans ce dernier cas, le pronostic à émettre doit reposer sur une appréciation d'ensemble de tous les éléments pertinents (ATF 134 IV 140 c. 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 4.5).</w:t>
      </w:r>
    </w:p>
    <w:p>
      <w:r>
        <w:rPr>
          <w:b/>
        </w:rPr>
        <w:t>E. 5.2</w:t>
      </w:r>
    </w:p>
    <w:p>
      <w:r>
        <w:t>En l’espèce, c’est à juste titre que le premier juge a prononcé une peine ferme, s’agissant d’une récidive spéciale commise durant le délai d’épreuve. Il s’agit d’un facteur prépondérant de pronostic défavorable qu’aucun autre élément ne vient suffisamment contrebalancer. En outre, les déclarations de l’appelant en première instance, tendant à banaliser son infraction (cf. jgt. p. 4, « je me sentais apte à conduire »), alors que le taux d’alcoolémie est qualifié et que la conduite a eu lieu au petit matin, ne permettent pas de considérer que son attitude vis-à-vis de la conduite sous l’emprise de l’alcool aurait radicalement changé. Ainsi, peu importe ce qu’a considéré le premier juge s’agissant des activités professionnelles nocturnes de l’appelant, la peine ne peut être assortie du sursis. En revanche, au regard de la jurisprudence fédérale citée ci-dessus qui exige une motivation particulière pour prononcer à la fois une peine ferme et révoquer le sursis, il faut admettre que l’exécution de la peine infligée par le premier juge aura un effet dissuasif suffisant. Il se justifie dès lors de renoncer à la révocation du sursis accordé au prévenu le 19 janvier 2012. Le délai d’épreuve sera toutefois prolongé d’une année et porté par conséquent à quatre ans.</w:t>
      </w:r>
    </w:p>
    <w:p>
      <w:r>
        <w:rPr>
          <w:b/>
        </w:rPr>
        <w:t>E. 6</w:t>
      </w:r>
    </w:p>
    <w:p>
      <w:r>
        <w:t>En définitive, l’appel d’O.________ doit être partiellement admis et le jugement entrepris modifié dans le sens des considérants qui précèdent.</w:t>
      </w:r>
    </w:p>
    <w:p>
      <w:r>
        <w:rPr>
          <w:b/>
        </w:rPr>
        <w:t>E. 7</w:t>
      </w:r>
    </w:p>
    <w:p>
      <w:r>
        <w:t>Vu l’issue de la cause, les frais de la procédure d’appel, constitués du seul émolument d’arrêt, par 1’170 fr., sont mis par moitié à la charge d’O.________, le solde étant laissé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