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242 vom 20. August 2014</w:t>
      </w:r>
    </w:p>
    <w:p>
      <w:r>
        <w:t>VD Tribunal cantonal, 2014-08-20, FR</w:t>
      </w:r>
    </w:p>
    <w:p>
      <w:r>
        <w:rPr>
          <w:b/>
        </w:rPr>
        <w:t xml:space="preserve">Quelle: </w:t>
      </w:r>
      <w:r>
        <w:t>https://mcp.opencaselaw.ch/entscheid/vd_findinfo_Jug___2014___242</w:t>
      </w:r>
    </w:p>
    <w:p>
      <w:r>
        <w:t>FR: VD_FINDINFO Jug / 2014 / 242 du 20 août 2014</w:t>
      </w:r>
    </w:p>
    <w:p>
      <w:r>
        <w:t>IT: VD_FINDINFO Jug / 2014 / 242 del 20 agosto 2014</w:t>
      </w:r>
    </w:p>
    <w:p>
      <w:pPr>
        <w:pStyle w:val="Heading2"/>
      </w:pPr>
      <w:r>
        <w:t>Regeste</w:t>
      </w:r>
    </w:p>
    <w:p>
      <w:r>
        <w:t>DÉTENTION PROVISOIRE | 221 CPP (CH)</w:t>
      </w:r>
    </w:p>
    <w:p>
      <w:pPr>
        <w:pStyle w:val="Heading2"/>
      </w:pPr>
      <w:r>
        <w:t>Erwägungen</w:t>
      </w:r>
    </w:p>
    <w:p>
      <w:r>
        <w:rPr>
          <w:b/>
        </w:rPr>
        <w:t>E. 1</w:t>
      </w:r>
    </w:p>
    <w:p>
      <w:r>
        <w:t>a) 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b) En l’espèce, il y a lieu d’entrer en matière sur le recours, qui a été interjeté en temps utile devant l’autorité compétente et qui satisfait aux conditions de forme posées par l’art. 385 al. 1 CPP.</w:t>
      </w:r>
    </w:p>
    <w:p>
      <w:r>
        <w:rPr>
          <w:b/>
        </w:rPr>
        <w:t>E. 2</w:t>
      </w:r>
    </w:p>
    <w:p>
      <w:r>
        <w:t>a)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Ces trois motifs ne sont pas cumulatifs, le fait que l'un d'eux au moins soit réalisé permet de justifier la détention provisoire. La détention provisoire et la détention pour des motifs de sûreté ne doivent pas durer plus longtemps que la peine privative de liberté prévisible (art. 212 al. 3 CPP). La mise en détention provisoire n’est possible que s’il existe à l’égard de l’auteur présumé, et préalablement à toute autre cause, de graves soupçons de culpabilité d’avoir commis un crime ou un délit (ATF 139 IV 186 c. 2; Schmocker, in: Kuhn/Jeanneret [éd.], Commentaire romand, Code de procédure pénale suisse, Bâle 2011, nn. 7 ss ad art. 221 CPP, pp. 1024 ss ). b) En l'espèce, le Tribunal des mesures de contrainte constate qu'il existe de graves soupçons de culpabilité à l'encontre de H.________. A ce sujet, il renvoie à ses ordonnances antérieures confirmées par les sentences cantonale et fédérale. Il le fait à juste titre, dès lors rien ne permet de les remettre en cause.</w:t>
      </w:r>
    </w:p>
    <w:p>
      <w:r>
        <w:rPr>
          <w:b/>
        </w:rPr>
        <w:t>E. 3</w:t>
      </w:r>
    </w:p>
    <w:p>
      <w:r>
        <w:t>Le recourant conteste l'existence d'un risque de récidive. a) Le maintien en détention ne peut se justifier en raison d’un risque de réitération que si le pronostic est très défavorable et si les délits dont l'autorité redoute la réitération sont graves (ATF 137 IV 84 c. 4.5, JT 2011 IV 325; ATF 135 I 71 c. 2.3; ATF 133 I 270 c. 2.2 et les arrêts cités, JT 2011 IV 3; TF 1B_39/2013 du 14 février 2013 c. 2.1). Le risque de récidive peut également se fonder sur les infractions faisant l'objet de la procédure pénale en cours, si le prévenu est fortement soupçonné – avec une probabilité confinant à la certitude – de les avoir commises (ATF 137 IV 84 c. 3.2 et les références citées, JT 2011 IV 325; TF 1B_39/2013 ibidem).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op. cit., n. 20 ad art. 221 CPP). La prévention du risque de récidive doit permettre de faire prévaloir l'intérêt à la sécurité publique sur la liberté personnelle du prévenu (ATF 137 IV 13 c. 4.5). b) Dans son arrêt du 19 juin 2014 (TF 1B_201/2014), la Ire Cour de droit public du Tribunal fédéral a admis la réalité d'un risque de récidive, en considérant notamment, outre les motifs déjà retenus par la Cour de céans, que l'activité délictueuse déployée par le recourant était de nature à compromettre sérieusement la sécurité d'autrui au sens de l'art. 221 al. 1 let. c CPP et que le risque de récidive pouvait aussi être retenu, dès lors qu'il s'agissait, conformément au principe de célérité, d'éviter que la procédure ne soit sans cesse compliquée et prolongée par la commission de nouveaux délits (c. 3.2). En l'espèce, aucun élément nouveau ressortant de l'enquête et/ou du recours de H.________ ne vient infirmer cette appréciation.</w:t>
      </w:r>
    </w:p>
    <w:p>
      <w:r>
        <w:rPr>
          <w:b/>
        </w:rPr>
        <w:t>E. 4</w:t>
      </w:r>
    </w:p>
    <w:p>
      <w:r>
        <w:t>H.________ conteste l'existence d'un risque de fuite. a)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(TF 1B_145/2012 du 19 avril 2012, c. 3.1 non publié aux ATF 138 IV 81). La gravité de l’infraction ne peut pas, à elle seule, justifier la prolongation de la détention, même si elle permet souvent de présumer un danger de fuite en raison de l’importance de la peine dont le prévenu est menacé (ibidem). b) Le risque de fuite est avéré au vu de la vie d'errance du prévenu, sachant qu'il pourrait, même à ce stade de la procédure et en dépit des attaches dont il se prévaut, être tenté quitter notre territoire pour se soustraire à la peine privative de liberté encourue, qui pourrait être de plus de deux ans. c) L'existence d'un risque de réitération et de fuite dispense l'autorité de céans d'examiner si le prévenu présente aussi un risque de collusion. Les conditions de la détention provisoire demeurent donc réunies.</w:t>
      </w:r>
    </w:p>
    <w:p>
      <w:r>
        <w:rPr>
          <w:b/>
        </w:rPr>
        <w:t>E. 5</w:t>
      </w:r>
    </w:p>
    <w:p>
      <w:r>
        <w:t>Il reste à examiner si, comme l'invoque le recourant, cette mesure serait trop incisive à ce stade, si une mesure de substitution – telle que le port d'un bracelet électronique –  pourrait pallier efficacement les risques existants, et si le principe de proportionnalité demeure respecté. a) En vertu de l'art. 237 al. 1 CPP, le tribunal compétent ordonne une ou plusieurs mesures moins sévères en lieu et place de la détention provisoire ou de la détention pour des motifs de sûreté si ces mesures permettent d'atteindre le même but que la détention. Les mesures de substitution énumérées de manière non exhaustive à l'art. 237 CPP sont un succédané à la détention provisoire, poursuivant le même objectif tout en étant moins sévères (Schmocker, op. cit., n. 2 ad art. 237 CPP). Le tribunal doit les prononcer à la place de la détention provisoire ou pour des motifs de sûreté si elles permettent d'empêcher la concrétisation du risque (ibid.). Ces mesures sont donc l'émanation directe du principe de la proportionnalité, consacré par l'art. 197 al. 1 let. c CPP, en vertu duquel le maintien en détention pour les besoins de l'instruction présente l'ultima ratio. La surveillance électronique ne constitue pas en soi une mesure de substitution mais uniquement un moyen de contrôler l'exécution d'une telle mesure : s'il apparaît d'emblée que cette mesure n'est pas apte à prévenir le risque de fuite, la surveillance électronique ne saurait être mise en œuvre (TF 1B_447/2011 du 21 septembre 2011 c. 3.4). b)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Toutefois, le fait que la peine encourue puisse être assortie du sursis, total ou partiel, n'est pas déterminant sous l'angle de la proportionnalité (ATF 133 I 270 c. 3.4.2). c) En l'espèce le port d'un bracelet électronique, fût-il couplé à une assignation à domicile, ne saurait parer efficacement le risque de fuite à défaut de GPS (CREP 4 juillet 2014/446). Pour le reste, H.________ est détenu depuis le 1 er mai 2014. Dans son arrêt du 19 juin 2014 (TF 1B_201/2014), le Tribunal fédéral a admis que la mesure détention provisoire ordonnée pour une durée de trois mois respectait le principe de la proportionnalité dès lors que, compte tenu des charges actuelles (notamment l'acte d'ordre sexuel avec une personne incapable de résistance) et du risque concret de révocation des peines déjà prononcées avec sursis (soit au total environ 500 jours de privation de liberté), les quatre mois de détention provisoire n'apparaissaient en rien excessifs (cf. 3. 3). La prolongation de la détention de H.________ de trois mois jusqu'au 11 novembre 2014 demeure proportionnée au regard de ces critères.</w:t>
      </w:r>
    </w:p>
    <w:p>
      <w:r>
        <w:rPr>
          <w:b/>
        </w:rPr>
        <w:t>E. 6</w:t>
      </w:r>
    </w:p>
    <w:p>
      <w:r>
        <w:t>Il s'ensuit que le recours de H.________, mal fondé, doit être rejeté et l’ordonnance attaquée confirmée. Les frais de la procédure de recours, constitués en l’espèce de l’émolument d'arrêt, par 1’210 fr. (art. 20 al. 1 TFJP [tarif des frais judiciaires pénaux; RSV 312.03.1]) et des frais imputables à la défense d’office (art. 422 al. 1 et 2 let. a CPP), fixés à 450 fr., plus la TVA par 36 fr., soit au total 486 fr., seront mis à la charge du recourant, qui succombe (art. 428 al. 1 CPP). Le remboursement à l’Etat de l’indemnité allouée au défenseur d’office de H.________ ne sera toutefois exigible que pour autant que la situation économique de ce dernier se soit améliorée (art. 135 al. 4 CPP). Par ces motifs, la Chambre des recours pénale, statuant à huis clos, prononce : I. Le recours est rejeté. II. L'ordonnance du 5 août 2014 est confirmée. III. L'indemnité allouée au défenseur d'office de H.________ est fixée à 486 fr. (quatre cent huitante-six francs). IV. Les frais d'arrêt, par 1’210 fr. (mille deux cent dix francs), ainsi que l'indemnité due au défenseur d'office de H.________ par 486 fr. (quatre cent huitante-six francs), sont mis à la charge de ce dernier. V. Le remboursement à l'Etat de l'indemnité allouée au chiffre III ci-dessus sera exigible pour autant que la situation économique deH.________ se soit améliorée. VI. L'arrêt est exécutoire. Le président :               La greffière : Du L'arrêt qui précède, dont la rédaction a été approuvée à huis clos, est notifié, par l'envoi d'une copie complète, à : - Mme Véronique Fontana, avocate (pour H.________), - Ministère public central, et communiqué à : ‑ M. le Président du Tribunal des mesures de contrainte,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