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236 vom 23. Juli 2014</w:t>
      </w:r>
    </w:p>
    <w:p>
      <w:r>
        <w:t>VD Tribunal cantonal, 2014-07-23, FR</w:t>
      </w:r>
    </w:p>
    <w:p>
      <w:r>
        <w:rPr>
          <w:b/>
        </w:rPr>
        <w:t xml:space="preserve">Quelle: </w:t>
      </w:r>
      <w:r>
        <w:t>https://mcp.opencaselaw.ch/entscheid/vd_findinfo_Jug___2014___236</w:t>
      </w:r>
    </w:p>
    <w:p>
      <w:r>
        <w:t>FR: VD_FINDINFO Jug / 2014 / 236 du 23 juillet 2014</w:t>
      </w:r>
    </w:p>
    <w:p>
      <w:r>
        <w:t>IT: VD_FINDINFO Jug / 2014 / 236 del 23 luglio 2014</w:t>
      </w:r>
    </w:p>
    <w:p>
      <w:pPr>
        <w:pStyle w:val="Heading2"/>
      </w:pPr>
      <w:r>
        <w:t>Regeste</w:t>
      </w:r>
    </w:p>
    <w:p>
      <w:r>
        <w:t>BÂTIMENT SCOLAIRE, LÉGALITÉ, FRAIS JUDICIAIRES, ACTE ILLICITE | 426 al. 2 CPP (CH), 429 CPP (CH)</w:t>
      </w:r>
    </w:p>
    <w:p>
      <w:pPr>
        <w:pStyle w:val="Heading2"/>
      </w:pPr>
      <w:r>
        <w:t>Erwägungen</w:t>
      </w:r>
    </w:p>
    <w:p>
      <w:r>
        <w:rPr>
          <w:b/>
        </w:rPr>
        <w:t>E. 1.1</w:t>
      </w:r>
    </w:p>
    <w:p>
      <w:r>
        <w:t>Interjeté dans les formes et délais légaux par une partie ayant qualité pour recourir contre le jugement du tribunal de première instance qui a clos la procédure (art. 398 al. 1 CPP), l’appel du Ministère public est recevable.</w:t>
      </w:r>
    </w:p>
    <w:p>
      <w:r>
        <w:rPr>
          <w:b/>
        </w:rPr>
        <w:t>E. 1.2</w:t>
      </w:r>
    </w:p>
    <w:p>
      <w:r>
        <w:t>S'agissant d'un appel concernant une contravention, la procédure applicable est écrite (art. 406 al. 1 let. c CPP) et la cause ressort de la compétence d'un juge unique (art. 14 al. 3 LVCPP [loi vaudoise d'introduction du Code de procédure pénale suisse du 19 mai 2009;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En l’espèce, seule une contravention a fait l’objet de l’accusation et du jugement de première instance, de sorte que l’appel est retreint. On peut se demander si la brièveté de l'état de fait du jugement attaqué ne commanderait pas son annulation en vertu de l'art. 409 CPP. Toutefois, il apparaît que les éléments de fait sont suffisants pour statuer, d'autant plus qu'aucune des parties n'a conclu à l'annulation de ce jugement.</w:t>
      </w:r>
    </w:p>
    <w:p>
      <w:r>
        <w:rPr>
          <w:b/>
        </w:rPr>
        <w:t>E. 2</w:t>
      </w:r>
    </w:p>
    <w:p>
      <w:r>
        <w:t>Le Ministère public soutient que l'art. 190 du Règlement d'application de la loi scolaire du 12 juin 1984 (aRLS; RSV 400.01.1), en vigueur jusqu'au 1 er août 2013, constituait une base légale suffisante pour justifier la condamnation de L.________.</w:t>
      </w:r>
    </w:p>
    <w:p>
      <w:r>
        <w:rPr>
          <w:b/>
        </w:rPr>
        <w:t>E. 2.1</w:t>
      </w:r>
    </w:p>
    <w:p>
      <w:r>
        <w:t>Aux termes de l'art. 7 al. 2 aLS (Loi scolaire du 12 juin 1984; RSV 400.01), en vigueur jusqu’au 1 er août 2013, les contrevenants sont passibles d'une amende d'un montant maximum de 2'000 fr. et sont poursuivis conformément à la loi sur les contraventions. L'art. 110 al. 1 aLS précise que les locaux et installations scolaires sont destinés en priorité à l'enseignement. Selon l'art. 190 aRLS, il est interdit à toute personne, y compris aux parents, de s'introduire dans les bâtiments de l'école ou dans ses dépendances pour retirer sans autorisation un enfant de la classe, pour interrompre l'enseignant dans l'exercice de ses fonctions ou pour perturber la vie scolaire (al. 1). Les contrevenants à cet article seront dénoncés au préfet et au département par le directeur (al. 2). Selon l'art. 145 al. 1 let. b LEO (Loi sur l'enseignement obligatoire du 1 er août 2013; RSV 400.02), toute personne qui aura troublé l’enseignement ou la bonne marche de l’établissement, notamment en pénétrant sans droit dans un bâtiment ou une installation scolaire, sera punie d’une amende d’un montant maximum de 5'000 francs. La poursuite a lieu conformément à la législation sur les contraventions (al. 2).</w:t>
      </w:r>
    </w:p>
    <w:p>
      <w:r>
        <w:rPr>
          <w:b/>
        </w:rPr>
        <w:t>E. 2.2</w:t>
      </w:r>
    </w:p>
    <w:p>
      <w:r>
        <w:t>L’art. 1 CP concerne à la fois les incriminations et les sanctions. Ces deux volets sont exprimés d’une part dans le corps de l’article, qui reflète le principe « pas de crime sans loi » (nullem crimen sine lege), et dans le titre marginal de l’article, qui énonce « pas de sanction sans loi » (nulla poena sine lege). Ainsi le juge n’est-il tenu de prononcer une peine qu’à la condition que l’acte qui la justifie soit érigé en infraction par la loi et que les règles légales concernant la fixation de la peine soient respectées (Dupuis et alii, Petit commentaire du Code pénal, Bâle 2012, n. 10 ad art. 1 CP). Ce principe, qui découle du droit constitutionnel, est aussi applicable en droit cantonal et communal (Favre, Pellet et Stoudmann, Code pénal annoté, 3 e éd. révisée, Lausanne 2011, nn. 1.2 et 1.4 ad art. 1 CP et les références citées). Le Tribunal fédéral a estimé qu’un règlement ou une ordonnance émanant d’une autorité exécutive ou administrative constituaient un fondement légal suffisant lorsqu’ils respectaient le cadre tracé par la Constitution et par la loi (ATF 124 IV 23 c. 1; également ATF 96 I 24 c. 4a, JT 1970 IV 116) et qu’ils ne prévoyaient pas une peine privative de liberté (ATF 123 IV 29 c. 4, JT 1998 IV 124; ATF 118 Ia 305 c. 7, JT 1994 I 630).</w:t>
      </w:r>
    </w:p>
    <w:p>
      <w:r>
        <w:rPr>
          <w:b/>
        </w:rPr>
        <w:t>E. 2.3</w:t>
      </w:r>
    </w:p>
    <w:p>
      <w:r>
        <w:t>En l'espèce, l'art. 145 LEO, entré en vigueur peu après les faits, aurait à l'évidence constitué une base légale suffisante tant sur la question de la violation des obligations scolaires qu'à l'égard de celui qui trouble l'enseignement, notamment en pénétrant sans droit dans un établissement scolaire. Néanmoins, le droit plus favorable en vigueur au moment des faits n'est pas aussi clair. L'art. 7 al. 2 aLS prévoit en effet une poursuite contraventionnelle et l'art. 110 aLS précise que les locaux scolaires sont destinés en priorité à l'enseignement. Il n'existait donc dans la loi scolaire en vigueur à l'époque des faits aucune disposition prévoyant des poursuites pénales à l'encontre de celui qui pénétrait sans droit dans un bâtiment scolaire ou dans une classe. Certes, il existait l'art. 190 aRLS, lequel a manifestement été violé par le prévenu. Cependant, on ne peut admettre que cette disposition constitue une base légale suffisante pour permettre une poursuite pénale, d'une part parce que cette disposition réglementaire repose elle-même sur une base légale insuffisante, et d'autre part parce qu'elle ne prévoit aucune sanction – contrairement aux art. 7 aLS et 145 LEO – et que la phrase « dénoncés au préfet et au département » ne peut suffire à créer une base légale suffisante à la poursuite pénale, faute de mentionner les peines encourues en cas de violation. Ces termes relèvent d'ailleurs plus d'une volonté d'informer les organes de l'Etat, lesquels pourront cas échant décider de déposer une plainte pour violation de domicile – comme cela a apparemment déjà été fait dans d’autres cas –, que de prévoir une sanction. Partant, c'est à juste titre que le premier juge a libéré L.________ de l'infraction de l'art. 190 aRLS, en l’absence d’une base légale suffisante, et l'appel du Ministère public doit être rejeté sur ce point.</w:t>
      </w:r>
    </w:p>
    <w:p>
      <w:r>
        <w:rPr>
          <w:b/>
        </w:rPr>
        <w:t>E. 3</w:t>
      </w:r>
    </w:p>
    <w:p>
      <w:r>
        <w:t>Le Ministère public soutient également que les frais de procédure aurait dû être mise à la charge du prévenu, de sorte qu'aucune indemnité n'aurait dû être allouée à ce dernier pour ses frais de défense.</w:t>
      </w:r>
    </w:p>
    <w:p>
      <w:r>
        <w:rPr>
          <w:b/>
        </w:rPr>
        <w:t>E. 3.1</w:t>
      </w:r>
    </w:p>
    <w:p>
      <w:r>
        <w:t>Selon l'art. 426 al. 1 CPP, le prévenu supporte les frais de procédure s’il est condamné. Font exception les frais afférents à la défense d’office ; l’art. 135 al. 4, est réservé. L’art. 426 al. 2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Aux termes de l’art. 429 CPP, si le prévenu est acquitté totalement ou en partie ou s’il bénéficie d’une ordonnance de classement, il a droit à une indemnité pour les dépenses occasionnées par l’exercice raisonnable de ses droits de procédure (let. a) ; une indemnité pour le dommage économique subi au titre de sa participation obligatoire à la procédure pénale (let. b) ; une réparation du tort moral subi en raison d’une atteinte particulièrement grave à sa personnalité, notamment en cas de privation de liberté (let. c). Un prévenu libéré ne peut être condamné au paiement des frais d'enquête que si, par un comportement juridiquement critiquable, il a donné lieu à l'ouverture de l'action pénale ou en a compliqué l'instruction. La condamnation aux frais d'un prévenu ou d'un accusé libéré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(ATF 116 Ia 162 c. 2d p. 171 et c. 2e p. 175). Le juge doit fonder son prononcé sur des faits incontestés ou déjà clairement établis (ATF 112 Ia 371 c. 2a in fine p. 374).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1B_21/2012 du 27 mars 2012 c. 2.1; TF 1B_12/2012 du 20 février 2012 c. 2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Ia 332 c. 1b p. 334; ATF 116 Ia 162 c. 2c p. 169). Le fait reproché doit constituer une violation claire de la norme de comportement (ATF 119 Ia 332 c. 1b p. 334; ATF 116 Ia 162 c. 2d p. 171). L'acte répréhensible ne doit pas nécessairement être commis intentionnellement. La négligence suffit, sans qu'il soit besoin qu'elle soit grossière (ATF 109 Ia 160 c. 4a p. 163 s.).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 2c p. 171).</w:t>
      </w:r>
    </w:p>
    <w:p>
      <w:r>
        <w:rPr>
          <w:b/>
        </w:rPr>
        <w:t>E. 3.2</w:t>
      </w:r>
    </w:p>
    <w:p>
      <w:r>
        <w:t>En l'espèce, non seulement le prévenu a violé l'interdiction formulée à l'art. 190 al. 1 aRLS et partant commis un acte illicite, mais il a également refusé de tenir compte des injonctions claires et formulées à deux reprises par le directeur de l’établissement scolaire G.________. Il n’est pas déterminant que d'autres directeurs d'établissements scolaires aient renoncé à de telles injonctions, une telle renonciation ne pouvant emporter une autorisation implicite pour l’appelant de se comporter comme il l’entend dans d’autres établissements du canton. En effet, contrairement à ce que soutient l’intimé, il ne s’agit pas, en présence d’une disposition réglementaire claire, d’une question de cohérence entre les pratiques des établissements scolaires. Pour ce motif, les mesures d’instruction requises sont sans pertinence. Par son comportement, L.________ a dérangé les enseignants ainsi que les élèves de l’école de [...], malgré les deux avertissements explicites formulés par le directeur, et a par conséquent entraîné l’ouverture de la procédure pénale. Dans ces circonstances, il se justifie de faire supporter à l’appelant les frais de procédure, lesquels seront réduits à 200 fr. compte tenu du fait que le tribunal de première instance, statuant sur opposition, a donné gain de cause au prévenu. La mise à la charge des frais de la procédure conduit au refus de toute indemnité de l’art. 429 CPP.</w:t>
      </w:r>
    </w:p>
    <w:p>
      <w:r>
        <w:rPr>
          <w:b/>
        </w:rPr>
        <w:t>E. 4</w:t>
      </w:r>
    </w:p>
    <w:p>
      <w:r>
        <w:t>En définitive, l'appel du Ministère public doit être partiellement admis et le jugement entrepris réformé dans le sens des considérants. Vu l'issue de la cause, les frais d'appel, comprenant l'émolument d’arrêt, par 990 fr. (art. 21 al. 1 TFIP [Tarif des frais de procédure et indemnités en matière pénale du 28 septembre 2010; RSV 312.03.1]), ainsi que l’indemnité allouée au défenseur d’office, doivent être mis par un quart à la charge de L.________, le solde étant laissé à la charge de l'Etat (art. 428 al. 1 CPP). Au vu de la complexité de la cause, des opérations mentionnées dans la note d'honoraires et de la procédure d'appel, il convient d'allouer au défenseur d’office de l’appelant une indemnité arrêtée à 583 fr. 20, TVA et débours inclus. L.________ ne sera tenu de rembourser à l’Etat le quart du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