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235 vom 13. Mai 2014</w:t>
      </w:r>
    </w:p>
    <w:p>
      <w:r>
        <w:t>VD Tribunal cantonal, 2014-05-13, FR</w:t>
      </w:r>
    </w:p>
    <w:p>
      <w:r>
        <w:rPr>
          <w:b/>
        </w:rPr>
        <w:t xml:space="preserve">Quelle: </w:t>
      </w:r>
      <w:r>
        <w:t>https://mcp.opencaselaw.ch/entscheid/vd_findinfo_Jug___2014___235</w:t>
      </w:r>
    </w:p>
    <w:p>
      <w:r>
        <w:t>FR: VD_FINDINFO Jug / 2014 / 235 du 13 mai 2014</w:t>
      </w:r>
    </w:p>
    <w:p>
      <w:r>
        <w:t>IT: VD_FINDINFO Jug / 2014 / 235 del 13 maggio 2014</w:t>
      </w:r>
    </w:p>
    <w:p>
      <w:pPr>
        <w:pStyle w:val="Heading2"/>
      </w:pPr>
      <w:r>
        <w:t>Regeste</w:t>
      </w:r>
    </w:p>
    <w:p>
      <w:r>
        <w:t>JUGE UNIQUE, DÉCISION DE RENVOI, PROCÉDURE ÉCRITE | 398 al. 4 CPP (CH), 406 al. 1 let. c CPP (CH), 14 al. 3 LVCPP</w:t>
      </w:r>
    </w:p>
    <w:p>
      <w:pPr>
        <w:pStyle w:val="Heading2"/>
      </w:pPr>
      <w:r>
        <w:t>Erwägungen</w:t>
      </w:r>
    </w:p>
    <w:p>
      <w:r>
        <w:rPr>
          <w:b/>
        </w:rPr>
        <w:t>E. 1.1</w:t>
      </w:r>
    </w:p>
    <w:p>
      <w:r>
        <w:t>Interjeté dans les formes et délais légaux (art. 399 CPP) par une partie ayant qualité pour recourir contre le jugement du tribunal de première instance qui a clos la procédure (art. 398 al. 1 CPP), l’appel du Ministère public est recevable.</w:t>
      </w:r>
    </w:p>
    <w:p>
      <w:r>
        <w:rPr>
          <w:b/>
        </w:rPr>
        <w:t>E. 1.2</w:t>
      </w:r>
    </w:p>
    <w:p>
      <w:r>
        <w:t>S'agissant d'un appel dirigé contre une contravention, la procédure applicable est écrite (art. 406 al. 1 let. c CPP) et la cause ressort de la compétence d'un juge unique (art. 14 al. 3 LVCPP [loi vaudoise d'introduction du Code de procédure pénale suisse du 19 mai 2009;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seules des contraventions à la législation sur la circulation routière ont fait l’objet de la procédure de première instance, de sorte que l’appel est retreint. Pour ce motif, les nouvelles pièces produites par le Ministère public en procédure d’appel, à savoir les photos et le schéma relatif à la fixation du cale-pied sur le cadre de la moto (cf. p. 2 in fine de la déclaration d’appel) sont irrecevables.</w:t>
      </w:r>
    </w:p>
    <w:p>
      <w:r>
        <w:rPr>
          <w:b/>
        </w:rPr>
        <w:t>E. 2</w:t>
      </w:r>
    </w:p>
    <w:p>
      <w:r>
        <w:t>L’appelant invoque une constatation incomplète ou erronée des faits. Il fait valoir que l’état de fait du jugement a été établi de manière manifestement inexacte ou en violation du droit.</w:t>
      </w:r>
    </w:p>
    <w:p>
      <w:r>
        <w:rPr>
          <w:b/>
        </w:rPr>
        <w:t>E. 2.1</w:t>
      </w:r>
    </w:p>
    <w:p>
      <w:r>
        <w:t>Comme rappelé ci-dessus, lorsque seules des contraventions ont fait l’objet de la procédure de première instance,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En revanche, la juridiction d’appel peut revoir librement le droit (cf. TF 6B_1247/2013 du 13 mars 2014 c. 1.2 et les références citées).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2.2.1</w:t>
      </w:r>
    </w:p>
    <w:p>
      <w:r>
        <w:t>En se référant à l’endommagement de la moto sous la forme d’un arrachement du cale-pied, l’appelant souligne tout d’abord qu’il était arbitraire de ne pas l’attribuer au léger heurt des deux véhicules. Selon lui, les explications présentées par le prévenu lors des débats de première instance sont invraisemblables. Il reproche en outre au premier juge de ne pas avoir cherché à expliquer la manière dont est intervenu l’arrachement du cale-pied. En l’occurrence, il faut donner acte à l’appelant que la version de la conspiration des motards pour attribuer faussement ce dommage, résultant d’une prétendue chute antérieure, à une manoeuvre imprévisible du prévenu n’est pas plausible. Pour le reste, le premier juge ne s’est aucunement prononcé sur la manière dont l’endommagement du cale-pied est survenu. Ainsi, à défaut d’autres explications permettant de comprendre l’arrachement de cette pièce, il était arbitraire de ne pas retenir une concomitance entre le dépassement et le dommage.</w:t>
      </w:r>
    </w:p>
    <w:p>
      <w:r>
        <w:rPr>
          <w:b/>
        </w:rPr>
        <w:t>E. 2.2.2</w:t>
      </w:r>
    </w:p>
    <w:p>
      <w:r>
        <w:t>L’appelant reproche ensuite au premier juge de n’avoir donné aucune explication quant à la présence d’une trace de choc au niveau du passage de la roue arrière droite de la voiture du prévenu, malgré le fait que les gendarmes aient constaté que la trace se trouvait à la hauteur d’un cale-pied de moto. Avec l’intimé, il faut constater que le rapport de dénonciation ne relève pas expressément, mais bien implicitement, que le cale-pied se trouvait à la hauteur de la partie abîmée du véhicule. Il ressort en effet de ce document que les policiers ont constaté, d’une part, que le cale-pied gauche de la moto était arraché et, d’autre part, que le passage de roue arrière droit du véhicule était endommagé (cf. 4/2, p. 6). Or, nonobstant ce constat, une correspondance de hauteur entre le dommage à la voiture et le cale-pied arraché n’a été ni vérifiée ni, partant, analysée dans le jugement entrepris, alors qu’elle renforçait la version du motard. Il était donc arbitraire de ne pas intégrer cette question dans l’examen des versions des parties. Le prévenu a certes expliqué que les dommages étaient antérieurs aux faits; il n’a toutefois donné aucune explication sur leur origine et n’a pas été interpellé sur ce point.</w:t>
      </w:r>
    </w:p>
    <w:p>
      <w:r>
        <w:rPr>
          <w:b/>
        </w:rPr>
        <w:t>E. 2.2.3</w:t>
      </w:r>
    </w:p>
    <w:p>
      <w:r>
        <w:t>Enfin, le premier juge n’a pas pris en compte l’égratignure dont a souffert le motard à la jambe gauche, tout en retenant contradictoirement qu’il était peu probable que seul le cale-pied ait subi l’impact de la voiture dès lors que le pied du motard serait plus large que cette pièce saillante. Or, il s’agissait d’un fait important qui renforçait les déclarations du motard également. Son exclusion s’avère dès lors arbitraire.</w:t>
      </w:r>
    </w:p>
    <w:p>
      <w:r>
        <w:rPr>
          <w:b/>
        </w:rPr>
        <w:t>E. 2.2.4</w:t>
      </w:r>
    </w:p>
    <w:p>
      <w:r>
        <w:t>En définitive, le doute éprouvé par le premier juge quant à la véracité de la version du motard confrontée à celle de l’automobiliste n’est pas correctement étayé. Par ailleurs, les circonstances de l’impact nécessitent des éclaircissements. On comprend mal en effet comment le contact entre les deux véhicules n’aurait occasionné qu’une égratignure à la jambe du motard tout en arrachant simultanément le cale-pied de la moto, ce qui incline à retenir contradictoirement un frottement, d’une part, et un choc d’une certaine violence, d’autre part. On ignore également si le cale-pied a été seulement tordu ou véritablement arraché, soit séparé du deux-roues, et le cas échéant récupéré par le motard à un moment indéterminé avant ou après avoir rattrapé l’automobiliste. Enfin, le frottement furtif et très localisé des deux véhicules apparaît objectivement singulier et nécessite de mieux comprendre leurs trajectoires et manoeuvres. Tous ces points nécessitent donc une instruction, notamment en procédant à l’audition du motard W.________. Toutefois, le pouvoir d’examen restreint de la Cour d’appel exclut d’y procéder en deuxième instance. Par conséquent, pour compléter l’instruction, il se justifie d’annuler le jugement entrepris en application de l’art. 409 al. 1 CPP.</w:t>
      </w:r>
    </w:p>
    <w:p>
      <w:r>
        <w:rPr>
          <w:b/>
        </w:rPr>
        <w:t>E. 3</w:t>
      </w:r>
    </w:p>
    <w:p>
      <w:r>
        <w:t>En conclusion, l’appel du Ministère public doit être admis, le jugement attaqué annulé et la cause renvoyée au Tribunal de police de l'arrondissement de La Broye et du Nord vaudois pour une instruction complémentaire dans le sens des considérants qui précèdent, puis nouveau jugement.</w:t>
      </w:r>
    </w:p>
    <w:p>
      <w:r>
        <w:rPr>
          <w:b/>
        </w:rPr>
        <w:t>E. 4</w:t>
      </w:r>
    </w:p>
    <w:p>
      <w:r>
        <w:t>Vu l’issue de la cause, les frais de la procédure d’appel, constitués du seul émolument d’arrêt, par 720 fr., doivent être mis à la charge de l’intimé qui a conclu au rejet de l’appel et qui succombe (art. 428 al. 1 CPP; cf. ATF 138 IV 248 c.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