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234 vom 30. Juli 2013</w:t>
      </w:r>
    </w:p>
    <w:p>
      <w:r>
        <w:t>VD Tribunal cantonal, 2013-07-30, FR</w:t>
      </w:r>
    </w:p>
    <w:p>
      <w:r>
        <w:rPr>
          <w:b/>
        </w:rPr>
        <w:t xml:space="preserve">Quelle: </w:t>
      </w:r>
      <w:r>
        <w:t>https://mcp.opencaselaw.ch/entscheid/vd_findinfo_Jug___2014___234</w:t>
      </w:r>
    </w:p>
    <w:p>
      <w:r>
        <w:t>FR: VD_FINDINFO Jug / 2014 / 234 du 30 juillet 2013</w:t>
      </w:r>
    </w:p>
    <w:p>
      <w:r>
        <w:t>IT: VD_FINDINFO Jug / 2014 / 234 del 30 luglio 2013</w:t>
      </w:r>
    </w:p>
    <w:p>
      <w:pPr>
        <w:pStyle w:val="Heading2"/>
      </w:pPr>
      <w:r>
        <w:t>Regeste</w:t>
      </w:r>
    </w:p>
    <w:p>
      <w:r>
        <w:t>FRAIS DE LA PROCÉDURE | 107 LTF</w:t>
      </w:r>
    </w:p>
    <w:p>
      <w:pPr>
        <w:pStyle w:val="Heading2"/>
      </w:pPr>
      <w:r>
        <w:t>Erwägungen</w:t>
      </w:r>
    </w:p>
    <w:p>
      <w:r>
        <w:rPr>
          <w:b/>
        </w:rPr>
        <w:t>E. 1</w:t>
      </w:r>
    </w:p>
    <w:p>
      <w:r>
        <w:t>L'autorité à laquelle la cause est renvoyée doit fonder sa décision sur les considérants en droit de l'arrêt du Tribunal fédéral (Corboz, in Corboz/Wurzburger/Ferrari/Frésard/Aubry Girardin, Commentaire de la LTF, Berne 2009, nn. 26 et 27 ad art. 107 LTF, p. 1078).</w:t>
      </w:r>
    </w:p>
    <w:p>
      <w:r>
        <w:rPr>
          <w:b/>
        </w:rPr>
        <w:t>E. 2</w:t>
      </w:r>
    </w:p>
    <w:p>
      <w:r>
        <w:t>Dans le cas d’espèce, le Tribunal fédéral a statué sur le fond et a au surplus renvoyé la cause à l’autorité de céans afin qu’elle se prononce sur les frais de la procédure d’appel. Seule cette question étant litigieuse, l’appel sera traité en procédure écrite en application de l’art. 406 al. 1 let. d CPP.</w:t>
      </w:r>
    </w:p>
    <w:p>
      <w:r>
        <w:rPr>
          <w:b/>
        </w:rPr>
        <w:t>E. 3</w:t>
      </w:r>
    </w:p>
    <w:p>
      <w:r>
        <w:t>En l’occurrence, F.________ a retiré son appel principal sur la quotité de la peine. Dans la mesure où ce retrait a été opéré spontanément, il se justifie de laisser les frais y relatifs à la charge de l’Etat, conformément à la pratique de la Cour d’appel pénale. Pour le surplus, dans son jugement du 18 novembre 2013, la Cour de céans a mis à la charge du prévenu une part de l’émolument d’arrêt qui ne concernait plus que la question de la réparation du tort moral, soit 955 fr., ainsi que l’indemnité allouée à son défenseur d’office, par 1'803 fr. 60. Vu l’issue de la procédure devant le Tribunal fédéral, ces frais doivent être laissés à la charge de l’Etat. Le jugement de la Cour d’appel pénale du 18 novembre 2013 sera dès lors modifié dans ce sens.</w:t>
      </w:r>
    </w:p>
    <w:p>
      <w:r>
        <w:rPr>
          <w:b/>
        </w:rPr>
        <w:t>E. 4</w:t>
      </w:r>
    </w:p>
    <w:p>
      <w:r>
        <w:t>Sur le vu de ce qui précède, les frais d’appel postérieurs à l’arrêt du Tribunal fédéral, constitués en l’espèce du seul émolument de jugement, par 440 fr., doivent être laissés à la charge de l’Etat. Pour le surplus, l’activité supplémentaire du défenseur de F.________ s’étant limitée à la rédaction d’un courrier, il n’y a pas lieu de lui allouer une 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