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230 vom 5. März 2014</w:t>
      </w:r>
    </w:p>
    <w:p>
      <w:r>
        <w:t>VD Tribunal cantonal, 2014-03-05, FR</w:t>
      </w:r>
    </w:p>
    <w:p>
      <w:r>
        <w:rPr>
          <w:b/>
        </w:rPr>
        <w:t xml:space="preserve">Quelle: </w:t>
      </w:r>
      <w:r>
        <w:t>https://mcp.opencaselaw.ch/entscheid/vd_findinfo_Jug___2014___230</w:t>
      </w:r>
    </w:p>
    <w:p>
      <w:r>
        <w:t>FR: VD_FINDINFO Jug / 2014 / 230 du 5 mars 2014</w:t>
      </w:r>
    </w:p>
    <w:p>
      <w:r>
        <w:t>IT: VD_FINDINFO Jug / 2014 / 230 del 5 marzo 2014</w:t>
      </w:r>
    </w:p>
    <w:p>
      <w:pPr>
        <w:pStyle w:val="Heading2"/>
      </w:pPr>
      <w:r>
        <w:t>Regeste</w:t>
      </w:r>
    </w:p>
    <w:p>
      <w:r>
        <w:t>PRÉSOMPTION D'INNOCENCE, VOL{DROIT PÉNAL}, INFRACTION D'IMPORTANCE MINEURE, COAUTEUR{DROIT PÉNAL} | 139 CP, 172ter CP, 10 CPP (CH)</w:t>
      </w:r>
    </w:p>
    <w:p>
      <w:pPr>
        <w:pStyle w:val="Heading2"/>
      </w:pPr>
      <w:r>
        <w:t>Erwägungen</w:t>
      </w:r>
    </w:p>
    <w:p>
      <w:r>
        <w:rPr>
          <w:b/>
        </w:rPr>
        <w:t>E. 1</w:t>
      </w:r>
    </w:p>
    <w:p>
      <w:r>
        <w:t>Interjetés dans les formes et délai légaux (art. 399 CPP) par une partie ayant la qualité pour recourir contre le jugement d’un tribunal de première instance ayant clos la procédure (art. 398 al. 1 CPP), les appels d’O.________ et A.________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Les deux appelantes soutiennent que le premier juge ne disposait pas d’éléments probants suffisants pour les condamner. Les éléments chronologiques, tels qu’exposés dans le jugement entrepris, prouveraient au contraire l’impossibilité pour elles d’avoir participé au délit reproché. En effet, la différence de quelques minutes entre l’heure donnée par le plaignant pour la commission du vol et l’heure attestée du retrait au bancomat ne leur laisserait pas matériellement la possibilité de commettre l’infraction. L’autorité de première instance n’aurait, dans ces circonstances, pas respecté le principe de la présomption d’innocence. En outre, le plaignant ne les aurait pas vues prendre son porte-monnaie, de sorte qu’il subsisterait un doute insurmontable devant leur profiter.</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w:t>
      </w:r>
    </w:p>
    <w:p>
      <w:r>
        <w:t>En l’espèce, le premier juge n’a ignoré aucune des circonstances factuelles alléguées par les appelantes et les a appréciées correctement. Quoi qu’elles disent, les appelantes avaient effectivement le temps d’accomplir le vol retenu à leur encontre. D’abord, les deux données temporelles objectives sont représentées par l’heure de la transaction par le plaignant à la poste (15h25, cf. P. 14) et l’heure du retrait au bancomat par O.________ (entre 15h33m23s et 15h34m24s, cf. P. 26). Compte tenu des distances à parcourir, entre 250 et 350 mètres (P. 23), le laps de temps entre ces deux transactions permettait tout à fait aux prévenues de soustraire le porte-monnaie du plaignant. En outre, comme l’a retenu le premier juge, il n’est de toute manière pas certain que les heures indiquées sur les différentes pièces soient parfaitement synchronisées et même si tel était le cas, l’appréciation ne s’en trouverait pas modifiée. Rien dans les circonstances temporelles ne permet donc de relativiser la valeur probante de l’identification des prévenues par le plaignant, qui, après avoir donné un signalement précis de celles-ci, les a reconnues formellement. Il n’a donc eu aucune violation de la présomption d’innocence et le premier juge a apprécié correctement les preuves.</w:t>
      </w:r>
    </w:p>
    <w:p>
      <w:r>
        <w:rPr>
          <w:b/>
        </w:rPr>
        <w:t>E. 4</w:t>
      </w:r>
    </w:p>
    <w:p>
      <w:r>
        <w:t>L’appelante A.________ conteste encore que la preuve d’une intention délictuelle la concernant ait été rapportée. Elle se serait bornée à accompagner sa cousine lors d’activités parfaitement ordinaires. Si elle avait effectivement dérobé un porte-monnaie, elle se serait appropriée son contenu, compte tenu de sa situation financière difficile.</w:t>
      </w:r>
    </w:p>
    <w:p>
      <w:r>
        <w:rPr>
          <w:b/>
        </w:rPr>
        <w:t>E. 4.1.1</w:t>
      </w:r>
    </w:p>
    <w:p>
      <w:r>
        <w:t>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w:t>
      </w:r>
    </w:p>
    <w:p>
      <w:r>
        <w:rPr>
          <w:b/>
        </w:rPr>
        <w:t>E. 4.1.2</w:t>
      </w:r>
    </w:p>
    <w:p>
      <w:r>
        <w:t>Se rend coupable de vol celui qui, pour se procurer ou procurer à un tiers un enrichissement illégitime, aura soustrait une chose mobilière appartenant à autrui dans le but de se l'approprier (art. 139 ch. 1 CP). Pour que la soustraction d'une chose mobilière appartenant à autrui constitue un vol, il faut que l'auteur ait agi intentionnellement, dans le dessein de s'approprier cette chose et dans celui de se procurer ainsi, ou de procurer à autrui, un enrichissement illégitime. L’art. 172ter CP prévoit que si l’acte ne visait qu’un élément patrimonial de faible valeur ou un dommage de moindre importance, l’auteur sera, sur plainte, puni d’une amende. Un élément patrimonial est de faible valeur au sens de cette dernière disposition s’il ne dépasse pas 300 francs. Le critère déterminant est l’intention de l’auteur, non pas son résultat. Dans le cas d’un vol à la tire lors duquel l’auteur ignore le contenu de ce qu’il va voler, il faut considérer, en l’absence d’indices contraires, que l’auteur agit tout au moins avec le dol éventuel d’obtenir un butin supérieur à 300 francs. Ce n’est que dans l’hypothèse où il subtilise un objet déterminé ou lorsqu’il a clairement vu la somme mise en poche que l’on appliquera l’art. 172 ter CP (ATF 123 IV 155, JdT1998 IV 170 c. 1b).</w:t>
      </w:r>
    </w:p>
    <w:p>
      <w:r>
        <w:rPr>
          <w:b/>
        </w:rPr>
        <w:t>E. 4.2</w:t>
      </w:r>
    </w:p>
    <w:p>
      <w:r>
        <w:t>En l’espèce, à supposer que le grief formulé signifie que l’appelante conteste avoir participé à un vol qui aurait peut-être été commis par sa coaccusée, il faut objecter que le modus operandi du vol supposait une concertation des prévenues pour bousculer le plaignant et lui subtiliser son bien, de sorte que le déroulement des faits démontre une coaction. Quant au fait que finalement rien n’a été pris dans le porte-monnaie, il peut être interprété de différentes manières. Il ne contenait en effet que 2 fr. 75 et des documents, dont une carte bancaire et trois cartes de crédit (P. 5). Pour s’enrichir, les prévenues auraient donc dû faire usage frauduleusement des cartes de crédit, ce qui aurait réalisé une infraction supplémentaire, soit celle d’utilisation frauduleuse d’un ordinateur, au sens de l’art. 147 CP. Il n’en demeure pas moins qu’elles ont soustrait le porte-monnaie pour se procurer un enrichissement illégitime. Par ailleurs, elles ont été en possession de ce porte-monnaie à compter de sa soustraction jusqu’au moment où elles l’ont jeté. Enfin, elles ignoraient son contenu, de sorte qu’il faut considérer qu’elles visaient un butin supérieur à 300 francs. Tous les éléments constitutifs de l’art. 139 ch. 1 CP sont par conséquent réunis.</w:t>
      </w:r>
    </w:p>
    <w:p>
      <w:r>
        <w:rPr>
          <w:b/>
        </w:rPr>
        <w:t>E. 5</w:t>
      </w:r>
    </w:p>
    <w:p>
      <w:r>
        <w:t>C’est donc à bon droit que le premier juge a condamné O.________ et A.________ pour vol.</w:t>
      </w:r>
    </w:p>
    <w:p>
      <w:r>
        <w:rPr>
          <w:b/>
        </w:rPr>
        <w:t>E. 6</w:t>
      </w:r>
    </w:p>
    <w:p>
      <w:r>
        <w:t>Les appelantes ne contestent pas la peine en tant que telle. Examinée d’office, la Cour de céans considère qu’au regard des éléments à charge et à décharge retenus par le tribunal de police, les peines pécuniaires infligées répriment adéquatement les agissements des prévenues. Elles doivent donc être confirmées. Il en va de même des amendes prononcées à titre de sanction immédiate. Au surplus, en l’absence d’un pronostic défavorable, les peines pécuniaires doivent être assorties du sursis pendant deux ans.</w:t>
      </w:r>
    </w:p>
    <w:p>
      <w:r>
        <w:rPr>
          <w:b/>
        </w:rPr>
        <w:t>E. 7</w:t>
      </w:r>
    </w:p>
    <w:p>
      <w:r>
        <w:t>En définitive, les appels d’O.________ et A.________ doivent être rejetés et le jugement entrepris intégralement confirmé. Vu l’issue de la cause, les frais de la procédure d’appel, constitués de l’émolument d’arrêt, par 1’280 fr., doivent être mis par moitié à la charge d’O.________ et par moitié à la charge d’A.________.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