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217 vom 26. März 2014</w:t>
      </w:r>
    </w:p>
    <w:p>
      <w:r>
        <w:t>VD Tribunal cantonal, 2014-03-26, FR</w:t>
      </w:r>
    </w:p>
    <w:p>
      <w:r>
        <w:rPr>
          <w:b/>
        </w:rPr>
        <w:t xml:space="preserve">Quelle: </w:t>
      </w:r>
      <w:r>
        <w:t>https://mcp.opencaselaw.ch/entscheid/vd_findinfo_Jug___2014___217</w:t>
      </w:r>
    </w:p>
    <w:p>
      <w:r>
        <w:t>FR: VD_FINDINFO Jug / 2014 / 217 du 26 mars 2014</w:t>
      </w:r>
    </w:p>
    <w:p>
      <w:r>
        <w:t>IT: VD_FINDINFO Jug / 2014 / 217 del 26 marzo 2014</w:t>
      </w:r>
    </w:p>
    <w:p>
      <w:pPr>
        <w:pStyle w:val="Heading2"/>
      </w:pPr>
      <w:r>
        <w:t>Regeste</w:t>
      </w:r>
    </w:p>
    <w:p>
      <w:r>
        <w:t>CONSTATATION DES FAITS, PRÉSOMPTION D'INNOCENCE, IN DUBIO PRO REO, COMMERCE DE STUPÉFIANTS, FIXATION DE LA PEINE, SURSIS À L'EXÉCUTION DE LA PEINE, RÉVOCATION DU SURSIS | 42 CP, 43 CP, 46 CP, 47 CP, 10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U.________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fait grief aux premiers juges d’avoir constaté et apprécié de manière erronée les faits s’agissant de son séjour illégal et de la vente de stupéfiants. Il invoque également une violation de la présomption d’innocence ainsi que de son corollaire, le principe in dubio pro reo .</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Le principe de l’appréciation libre des preuves interdit d’attribuer d’entrée de cause une force probante accrue à certains moyens de preuve, comme par exemple des rapports de police (cf. TF 1P.283/2006 du 4 août 2006 c.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 3b). Il en va de la sorte, non seulement, en matière de circulation routière mais aussi, par exemple, s’agissant d’établir les antécédents pénaux d’un délinquant (cf. TF 6B_2612010 du 3 mai 2010 c. 1.2 et 68_686/2010 du 21 octobre 2010 c. 1.2).</w:t>
      </w:r>
    </w:p>
    <w:p>
      <w:r>
        <w:rPr>
          <w:b/>
        </w:rPr>
        <w:t>E. 3.2.1</w:t>
      </w:r>
    </w:p>
    <w:p>
      <w:r>
        <w:t>S’agissant de sa condamnation pour séjour illégal, l’appelant soutient qu’il a été informé du rejet de sa demande d’asile après son arrestation intervenue le 6 juin 2013. Il se fonde sur ses auditions des 7 juin et 15 octobre 2013 où il a déclaré, d’une part, ne pas savoir si sa demande d’asile était toujours en cours et, d’autre part, lorsque la police l’a informé que le rejet de sa demande d’asile lui avait été notifié le 20 février 2013, qu’il n’avait pas été mis au courant par le canton de Berne.</w:t>
      </w:r>
    </w:p>
    <w:p>
      <w:r>
        <w:rPr>
          <w:b/>
        </w:rPr>
        <w:t>E. 3.2.2</w:t>
      </w:r>
    </w:p>
    <w:p>
      <w:r>
        <w:t>En l’espèce, le parcours de l’appelant est connu. Il ressort de la pièce 39/2 que ce dernier est arrivé en Suisse le 13 juin 2011 où il a déposé une demande d’asile. Il a été attribué au canton de Berne et a séjourné du 23 juin 2011 au 21 février 2012 au centre d’accueil d’Enggistein, puis au centre pour requérants d’asile de Hochfeld jusqu’au 25 juillet 2012, date à laquelle il a disparu. Il a ensuite été incarcéré du 8 janvier au 8 mars 2013. Selon le rapport de police (P. 33/1, p. 10), le 10 septembre 2012, I’Office fédéral des migrations a décidé de radier sa demande d’asile et cette décision lui a été notifiée le 20 février 2013. Certes, comme le relève l’appelant, tant la décision de I’Office fédéral des migrations que l’accusé de réception de cet acte ne figurent pas au dossier. Toutefois, il ressort du rapport de police que la décision de I’Office fédéral des migrations radiant sa demande d’asile a été notifiée à l’appelant le 20 février 2013, soit lors de son incarcération. Aucun élément au dossier ne permet de mettre en doute ce fait. Les déclarations du prévenu sont à cet égard contradictoires. Il a certes déclaré, lors de ses auditions des 7 juin et 15 octobre 2013 (PV aud. 2, R. 6; PV aud. 12, p. 2), ne pas savoir que sa demande d’asile n’était plus en cours. Le 6 août 2013, il a toutefois également indiqué qu’à sa sortie de prison, son assistant social lui avait dit de se rendre à Berne « pour récupérer son asile » et qu’il ne s’y était pas rendu car un de ses amis lui avait dit qu’il pouvait dormir dans la rue à Lausanne (PV aud. 11, p. 2). Enfin, à l’audience de première instance, il a reconnu les faits s’agissant de son séjour illégal tout en précisant qu’il ne savait pas qu’il était en situation irrégulière (jgt., p. 4). Dans ces circonstances, il y a lieu de se fonder sur le rapport de police et de retenir que l’appelant a été informé lors de son séjour en prison le 20 février 2013 que sa demande d’asile avait été radiée et qu’il n’était donc plus autorisé à séjourner en Suisse.</w:t>
      </w:r>
    </w:p>
    <w:p>
      <w:r>
        <w:rPr>
          <w:b/>
        </w:rPr>
        <w:t>E. 3.3.1</w:t>
      </w:r>
    </w:p>
    <w:p>
      <w:r>
        <w:t>S’agissant du trafic de stupéfiants, l’appelant conteste les quantités de cocaïne retenues par les premiers juges. Il leur fait grief de s’être fondés exclusivement sur les déclarations des toxicomanes et soutient que les incohérences de ces témoignages auraient dû les amener à ne retenir que les quantités qu’il a admises, à savoir la vente de 12,5 gr de cocaïne brute au total. Si par impossible ces déclarations devaient être retenues, il estime que la quantité totale de cocaïne brute vendue devrait être ramenée à 76,3 grammes.</w:t>
      </w:r>
    </w:p>
    <w:p>
      <w:r>
        <w:rPr>
          <w:b/>
        </w:rPr>
        <w:t>E. 3.3.2</w:t>
      </w:r>
    </w:p>
    <w:p>
      <w:r>
        <w:t>Les griefs de l’appelant sont vains. En effet, sa condamnation n’est pas fondée uniquement sur les déclarations des toxicomanes mais également sur les relevés téléphoniques et sa présence à Lausanne durant les périodes en cause (jgt., p. 10). En outre, sous réserve de deux témoignages dont il sera question ci-dessous, toutes les déclarations des témoins doivent être prises en considération, ces derniers ayant tous donné les mêmes indications, notamment quant au prix et aux quantités de drogue vendues, au mode opératoire et au surnom du prévenu. Par ailleurs, pour évaluer la quantité de cocaïne par boulette, les premiers juges s’en sont tenus à la proportion de 10 fr. équivalant à 0,1 gramme. Ils ont en outre tenu compte des quantités de drogue les plus favorables, sous réserve de ce qui suit : - W.________ a déclaré avoir acheté au prévenu, entre 2011 et mars 2013, une cinquantaine de cocaïne, soit 40 gr environ selon l’acte d’accusation. En l’occurrence, cet acheteur a été d’abord entendu dans le cadre d’une enquête dirigée contre un autre trafiquant (PV aud. 1). Lors de cette audition, il a spontanément parlé de l’appelant qui ne figurait pas sur les planches photographiques qui lui ont été présentées et a déclaré lui avoir acheté une cinquantaine de fois toujours la même quantité au même endroit. Il a en outre expliqué que comme il était ponctuel, il pensait que l’appelant habitait tout près. Il a d’ailleurs remarqué que ce dernier était absent au début de l’année 2013, ce qui correspond à la période de sa détention. Enfin, entendu une seconde fois dans le cadre de la présente affaire (PV aud. 4), ce toxicomane a répété avoir acheté au prévenu une cinquantaine de boulettes de moins d’un gramme. Contrairement à ce que soutient l’appelant, on ne saurait tenir compte des quantités de cocaïne que W.________ a reconnu avoir consommées. En effet, d’une part, on ignore si cet acheteur revendait ou donnait les boulettes qu’il se procurait et, d’autre part, il a à l’évidence sous-estimé sa consommation dès lors que le prévenu n’était pas son seul fournisseur. Il y a lieu en conséquence de s’en tenir aux quantités admises par ce toxicomane lors de ses premières déclarations. - Z.________ a déclaré avoir acheté au prévenu quatre boulettes de 0,2 gr chacune, dont deux le jour de son interpellation, et avoir reçu gratuitement deux autres boulettes (PV aud. 5, R. 4). Les premiers juges n’ont toutefois pas retenu cette quantité mais celle admise par le prévenu lui-même, soit 10 grammes (PV aud. 11, R. 8; PV aud. 12, li. 68). Au vu des déclarations de ce toxicomane, il est évident qu’il a minimisé les quantités de drogue achetées, dès lors qu’il a indiqué se fournir au hasard en ville auprès d’autres Africains lorsque le prévenu n’était pas disponible (PV aud. 5, R. 7), ce qui sous-entend que ce dernier était un fournisseur régulier. Avec les premiers juges, il convient donc de s’en tenir aux aveux du prévenu. - S’agissant de D.________, le tribunal correctionnel a retenu qu’il avait acheté 50 boulettes de cocaïne, soit environ 28 gr, et que parmi cette cinquantaine de boulettes, 10 lui avaient été offertes en guise de fidélité. En l’occurrence, c’est le raccordement téléphonique du prévenu qui a conduit à cette personne; celle-ci l’a formellement reconnu; elle a par ailleurs spontanément indiqué qu’elle ne lui avait rien acheté au début de l’année 2013 – ce qui correspond à la période de détention du prévenu – et que ce dernier était son principal fournisseur (PV aud. 6). Aucun élément ne permet de mettre en doute ces déclarations. Cet acheteur a indiqué qu’il avait acquis 40 boulettes de cocaïne et que 10 petites boulettes lui avaient été offertes; il a également fait état d’une cinquantaine de boulettes au maximum et que sur ces 50 boulettes, la moitié était des petites à 40 fr. et l’autre moitié des grosses à 80 francs. Sur la base de la proportion retenue par l’appelant dans sa déclaration d’appel, à savoir que 0,1 gr de cocaïne brute était vendue à 10 fr., pour 25 petites boulettes à 40 fr. et 25 grosses boulettes à 80 fr., on obtient un montant total de 3000 fr., ce qui correspond à 30 grammes. Ainsi, en prenant en compte 28 gr de cocaïne brute, le jugement n’a pas retenu la quantité la plus importante possible. - S’agissant de V.________, le jugement entrepris retient un achat de 30 boulettes, soit environ 20 gr de cocaïne. L’appelant soutient que les premiers juges n’auraient pas dû retenir plus de 17 gr, compte tenu du fait qu’une boulette de 10 fr. correspondait à 0,1 grammes. En l’occurrence, V.________ a déclaré avoir acheté une boulette de 0,8-0,9 gr à 80 fr.; il a en outre admis avoir acheté un maximum de 30 boulettes, dont 20 à 80 fr. et 10 à 40 fr., et que l’appelant lui avait fait des rabais sur 5 boulettes vendues 60 fr. au lieu de 80 francs. Si l’on tient compte de la proportion 80 fr. = 0,8 gr, on parvient aux 20 gr remis par l’appelant à V.________, ce qui correspond à 19 gr vendus et 1 gr offert. Il n’y a donc pas lieu de s’écarter de la quantité retenue par les premiers juges. - Selon le jugement entrepris, P.________ aurait acheté une trentaine de boulettes, soit environ 12 gr de cocaïne. L’appelant, qui a admis lui avoir vendu 3 boulettes à 30 fr. l’unité (jgt., p. 4), soutient en appel que le tribunal correctionnel aurait dû retenir la quantité la moins importante à sa charge, soit 6 gr au maximum, correspond à 30 boulettes de 0,2 grammes. Dans la mesure où P.________ a déclaré avoir acheté auprès de l’appelant 30 boulettes de cocaïne de 0,2 à 0,3 gr (PV aud. 9), c’est bien une quantité maximale de 6 gr, et non de 12 gr, qui aurait dû être prise en compte par le tribunal correctionnel. - S’agissant de H.________, les premiers juges ont retenu qu’il avait acheté une quinzaine de boulettes à 30 fr., de 0,3 à 0,4 gr, soit environ 9,2 gr, ce que l’appelant conteste. En se référant aux déclarations de cet acheteur, le prévenu estime que la quantité maximale qui lui est imputable est de 4,5 gr (soit 0,3 gr x 15 boulettes). Avec l’appelant, il faut constater que l’acte d’accusation, repris dans le jugement de première instance, contient une erreur : en effet, 15 boulettes à 0,3 gr représentent bien une quantité de 4,5 gr et non de 9,2 grammes. Au surplus, les déclarations de H.________ ne coïncident pas avec celles retenues dans l’acte d’accusation, cet acheteur ayant indiqué avoir acquis 15 boulettes, dont la moitié était des petites boulettes de 0,3 à 0,4 gr et l’autre moitié des grosses boulettes. Il convient en conséquence de retenir 4,5 grammes. En conclusion, sur la base de ce qui précède, il convient de retrancher de la quantité totale retenue en première instance (soit 119,2 gr), 6 gr pour la vente relative à P.________ et 4,7 gr pour celle concernant H.________, ce qui correspond à une quantité de cocaïne brute de 108,5 grammes.</w:t>
      </w:r>
    </w:p>
    <w:p>
      <w:r>
        <w:rPr>
          <w:b/>
        </w:rPr>
        <w:t>E. 3.3.3</w:t>
      </w:r>
    </w:p>
    <w:p>
      <w:r>
        <w:t>L’appelant conteste encore le taux de pureté de 32 % retenu par les premiers juges. En se référant aux statistiques établies par la SSML, il soutient que, pour des boulettes de moins d’un gramme, c’est un taux de 23 % qui aurait dû être appliqué, ce qui correspond au taux de pureté médian et non moyen. Toutefois, conformément à la pratique du Tribunal fédéral, il convient de se référer au degré de pureté moyen, et non médian. Ainsi, selon les statistiques établies par la SSML, pour une quantité inférieure à un gramme, le taux moyen le plus favorable à l’appelant est bien de 32 %.</w:t>
      </w:r>
    </w:p>
    <w:p>
      <w:r>
        <w:rPr>
          <w:b/>
        </w:rPr>
        <w:t>E. 3.3.4</w:t>
      </w:r>
    </w:p>
    <w:p>
      <w:r>
        <w:t>En conclusion, l’appelant s’est livré à une vente de cocaïne portant sur une quantité brute de 108,5 gr, ce qui correspond une quantité nette de 34,78 grammes. En effet, les deux boulettes de 0,4 gr saisies correspondent à 0,32 gr de cocaïne pure selon un taux de pureté de 40 %; quant aux 107,7 gr de cocaïne brute restants (108,5 gr – 0,8 gr), ils correspondent à 34,46 gr de cocaïne pure compte tenu d’un degré de pureté de 32 %.</w:t>
      </w:r>
    </w:p>
    <w:p>
      <w:r>
        <w:rPr>
          <w:b/>
        </w:rPr>
        <w:t>E. 3.4</w:t>
      </w:r>
    </w:p>
    <w:p>
      <w:r>
        <w:t>Sur le vu de ce qui précède, on ne discerne aucune appréciation erronée des faits ni violation de la présomption d’innocence. Mal fondé, le grief de l’appelant doit être rejeté.</w:t>
      </w:r>
    </w:p>
    <w:p>
      <w:r>
        <w:rPr>
          <w:b/>
        </w:rPr>
        <w:t>E. 4</w:t>
      </w:r>
    </w:p>
    <w:p>
      <w:r>
        <w:t>Enfin, U.________ conteste la quotité de la peine infligée qu’il estime trop sévère. Il fait grief aux premiers juges d’avoir examiné très brièvement et de manière incomplète les éléments relatifs à la fixation de la peine en matière d’infractions à la LStup.</w:t>
      </w:r>
    </w:p>
    <w:p>
      <w:r>
        <w:rPr>
          <w:b/>
        </w:rPr>
        <w:t>E. 4.1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encore tenir compte des antécédents, qui comprennent aussi bien les condamnations antérieures que les circonstances de la vie passée (ATF 122 IV 299 c. 2b).</w:t>
      </w:r>
    </w:p>
    <w:p>
      <w:r>
        <w:rPr>
          <w:b/>
        </w:rPr>
        <w:t>E. 4.2</w:t>
      </w:r>
    </w:p>
    <w:p>
      <w:r>
        <w:t>En l’espèce, les premiers juges ont qualifié la culpabilité de U.________ de lourde. A charge, ils ont retenu le fait qu’il était venu en Suisse dans l’unique but de vendre de la drogue, qu’il avait commencé son activité délictueuse quelques jours après son arrivée dans notre pays et agi dans le seul dessein de lucre, sans aucune considération pour la santé d’autrui. Ils ont également pris en compte le fait que seule son arrestation avait mis fin au trafic, le concours d’infractions ainsi que la récidive. Les premiers juges ont toutefois renoncé à retenir la circonstance aggravante du métier, dans la mesure où il n’était pas établi que le prévenu avait agi à la manière d’un professionnel. Enfin, ils ont considéré qu’il n’y avait aucun élément à décharge. La Cour de céans reprend à son compte l’appréciation des premiers juges relatifs aux éléments à charge et à décharge retenus, qui est adéquate. Au surplus, elle relève que l’activité délictuelle de l’appelant a été soutenue et qu’il était le principal fournisseur de certains toxicomanes qu’il fidélisait en leur faisant des cadeaux. Il vendait certes de petites quantités, toutefois à de très nombreuses reprises, ce qui dénote une grande intensité de son activité délictuelle. Il s’est par ailleurs livré à un trafic sur de nombreux mois et a récidivé juste après sa libération. Il a également fortement minimisé les faits. A l’audience d’appel, le prévenu a indiqué pour la première fois vouloir donner un nouveau départ à sa vie. Cette amorce de prise de conscience doit toutefois être relativisée, le prévenu n’ayant aucun projet d’avenir concret. Au surplus, le fait que la quantité de cocaïne retenue en appel est inférieure à celle retenue par les premiers juges ne saurait conduire à une diminution de peine, dès lors que cette réduction est minime et qu’elle ne modifie pas l’intensité de l’activité délictuelle du prévenu. Enfin, il y a concours avec l’infraction à la LEtr. Sur la base des éléments qui précèdent, la peine privative de liberté de 22 mois prononcée par les premiers juges réprime adéquatement les agissements du prévenu. Elle doit donc être confirmée. Il en va de même de l’amende d’un montant de 500 fr. sanctionnant la contravention à la LStup.</w:t>
      </w:r>
    </w:p>
    <w:p>
      <w:r>
        <w:rPr>
          <w:b/>
        </w:rPr>
        <w:t>E. 5</w:t>
      </w:r>
    </w:p>
    <w:p>
      <w:r>
        <w:t>Il reste à examiner la question du sursis ainsi que celle de la révocation du sursis précédent.</w:t>
      </w:r>
    </w:p>
    <w:p>
      <w:r>
        <w:rPr>
          <w:b/>
        </w:rPr>
        <w:t>E. 5.1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Il ressort de l’art. 43 al. 1 CP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 En vertu de l' art. 46 CP , si, durant le délai d'épreuve, le condamné commet un crime ou un délit et qu'il y a dès lors lieu de prévoir qu'il commettra de nouvelles infractions, le juge révoque le sursis ou le sursis partiel (al. 1, 1 ère phrase). S'il n'y a pas lieu de prévoir que le condamné commettra de nouvelles infractions, le juge renonce à ordonner la révocation (al. 2, 1 ère phrase).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 TF 6B_163/2011 du 24 novembre 2011 c. 3.2).</w:t>
      </w:r>
    </w:p>
    <w:p>
      <w:r>
        <w:rPr>
          <w:b/>
        </w:rPr>
        <w:t>E. 5.2</w:t>
      </w:r>
    </w:p>
    <w:p>
      <w:r>
        <w:t>En l’espèce, au vu des antécédents du prévenu, de la récidive spéciale commise, en partie, peu temps après sa sortie de prison, de l’absence d’une prise de conscience et de sa situation personnelle, le pronostic à poser quant au comportement futur de l’appelant est défavorable. La peine prononcée doit donc être ferme. Par ailleurs, au regard du pronostic posé et de la récidive durant le délai d’épreuve, la révocation du sursis antérieur s’impose, l’exécution de la nouvelle peine n’étant au surplus pas suffisante pour avoir l’effet dissuasif escompté.</w:t>
      </w:r>
    </w:p>
    <w:p>
      <w:r>
        <w:rPr>
          <w:b/>
        </w:rPr>
        <w:t>E. 6</w:t>
      </w:r>
    </w:p>
    <w:p>
      <w:r>
        <w:t>En définitive, l'appel de U.________ doit être rejeté et le jugement entrepris intégralement confirmé.</w:t>
      </w:r>
    </w:p>
    <w:p>
      <w:r>
        <w:rPr>
          <w:b/>
        </w:rPr>
        <w:t>E. 7</w:t>
      </w:r>
    </w:p>
    <w:p>
      <w:r>
        <w:t>Vu l’issue de la cause, les frais d’appel, constitués de l'émolument de jugement, par 2’460 fr., et de l'indemnité allouée au défenseur d'office de l’appelant, par 1'976 fr. 40, débours et TVA compris, doivent être mis à la charge U.________. Ce dernier ne sera tenu de rembourser à l’Etat le montant de l'indemnité allouée à son défenseur d’office que lorsque sa situation financière le permettra (art. 135 al. 4 let. a CPP). S’agissant de l’indemnité d’office, Me Reil a produit une liste d’opérations faisant état de 29,5 heures d’activité, dont 1,5 heure effectuée par ses soins et le solde par son avocate-stagiaire (P. 68).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de 1,5 heure d’activité pour Me Reil et de 12 heures pour sa stagiaire. C’est donc une indemnité de 1'976 fr. 40, correspondant à 1,5 heure à 180 fr. et 12 heures à 110 fr., plus la TVA et 3 vacations au tarif applicable pour les avocats-stagiaires, soit 80 fr. et non 120 fr., qui doit être allouée à Me Reil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