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211 vom 5. Februar 2014</w:t>
      </w:r>
    </w:p>
    <w:p>
      <w:r>
        <w:t>VD Tribunal cantonal, 2014-02-05, FR</w:t>
      </w:r>
    </w:p>
    <w:p>
      <w:r>
        <w:rPr>
          <w:b/>
        </w:rPr>
        <w:t xml:space="preserve">Quelle: </w:t>
      </w:r>
      <w:r>
        <w:t>https://mcp.opencaselaw.ch/entscheid/vd_findinfo_Jug___2014___211</w:t>
      </w:r>
    </w:p>
    <w:p>
      <w:r>
        <w:t>FR: VD_FINDINFO Jug / 2014 / 211 du 5 février 2014</w:t>
      </w:r>
    </w:p>
    <w:p>
      <w:r>
        <w:t>IT: VD_FINDINFO Jug / 2014 / 211 del 5 febbraio 2014</w:t>
      </w:r>
    </w:p>
    <w:p>
      <w:pPr>
        <w:pStyle w:val="Heading2"/>
      </w:pPr>
      <w:r>
        <w:t>Regeste</w:t>
      </w:r>
    </w:p>
    <w:p>
      <w:r>
        <w:t>FIXATION DE LA PEINE, SURSIS PARTIEL À L'EXÉCUTION DE LA PEINE | 43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requiert le prononcé d’une peine compatible avec un sursis complet.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3.2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6B_353/2008 du 30 mai 2008 c. 2.3). Ainsi, lorsque le pronostic quant au comportement futur de l'auteur n'est pas défavorable, la loi exige que l'exécution de la peine soit au moins partiellement suspendue. En revanche, un pronostic défavorable exclut également le sursis partiel. Lorsque le juge suspend totalement ou partiellement l'exécution d'une peine, il impartit au condamné un délai d'épreuve de deux à cinq ans (art. 44 al. 1 CP).</w:t>
      </w:r>
    </w:p>
    <w:p>
      <w:r>
        <w:rPr>
          <w:b/>
        </w:rPr>
        <w:t>E. 3.3</w:t>
      </w:r>
    </w:p>
    <w:p>
      <w:r>
        <w:t>En l’espèce, la culpabilité de I.________ est lourde. Les infractions commises sont multiples et les faits extrêmement graves. A charge, on retiendra que le prévenu a conduit son véhicule en état d’ébriété et malgré un retrait de permis. Il a violé de manière crasse les règles les plus élémentaires en matière de circulation routière. Par son comportement purement égoïste et totalement inconscient, il a causé le décès d’une automobiliste, portant atteinte au bien juridique le plus précieux qu’est la vie d’autrui. A 28 ans, son casier judiciaire comporte déjà trois antécédents et pas moins de cinq mesures administratives en matière de circulation routière. Il faut également retenir le concours d’infraction. A décharge, la Cour de céans prendra en compte les regrets sincères et les excuses du prévenu ainsi que la soumission volontaire à un traitement psychothérapeutique et à des contrôles d’abstinence. Ces éléments ne permettent toutefois pas de retenir un repentir sincère et de faire application de l’art. 48a CP, ce que l’appelant ne prétend d’ailleurs pas. Au vu de l'ensemble des éléments qui précèdent, seule une peine privative de liberté entre en considération. Une peine de trente mois est adéquate, si bien que l’appel est rejeté sur ce point. Au vu de la quotité de la peine prononcée, un sursis complet est exclu (art. 42 al. 1 CP). L’appelant a refait sa vie, a retrouvé un travail et paraît avoir pris conscience de la gravité de ses actes et manifeste la volonté de les assumer. Dans ces circonstances, le pronostic n’est pas entièrement défavorable. Il se justifie dès lors de suspendre partiellement la peine en dépit des antécédents de l’appelant. La part ferme de la peine portera sur huit mois afin de ne pas pénaliser plus que nécessaire la resocialisation de l’appelant. Le solde sera assorti d’un sursis de cinq ans. La durée maximale du délai d’épreuve se justifie en raison des mauvais antécédents de l’appelant et des conclusions de l’expert. Une amende doit réprimer la contravention commise à la LStup. Elle sera fixée à 500 francs. La peine privative de substitution en cas de non paiement fautif de l’amende sera arrêtée à 10 jours. Il s’ensuit que l’appel doit être rejeté sur ce point également.</w:t>
      </w:r>
    </w:p>
    <w:p>
      <w:r>
        <w:rPr>
          <w:b/>
        </w:rPr>
        <w:t>E. 3.4</w:t>
      </w:r>
    </w:p>
    <w:p>
      <w:r>
        <w:t>Il est vrai que l’appelant ne pourra pas exécuter la part ferme de la peine sous forme d’arrêts domiciliaires selon l’art. 1 al. 1 Rad1 (Règlement sur l’exécution des courtes peines privatives de liberté sous forme d’arrêts domiciliaires du 11 juin 2003; RS 340.01.6). Il ressort en effet de l’arrêt du Tribunal fédéral que le refus du Service pénitentiaire d’appliquer l’art. 1 Rad1 aux personnes condamnées à une peine privative de liberté supérieure à douze mois n’était pas arbitraire, et cela même si une part de cette peine était assortie du sursis et que la part à exécuter était égale ou inférieure à douze mois (TF 6B_582/2008 du 5 novembre 2008 c. 2.5). Les premiers juges ont certes admis qu’une longue période de détention aurait sans doute pour conséquence d’aggraver le risque de récidive, mais les experts ont précisé que c’était surtout une démarche thérapeutique volontaire qui permettra à l’appelant de se tenir à l’écart d’une récidive (P. 51 p. 5, P. 65, jgt. p. 11). Dans le cas d’espèce, la Cour observe que la condamnation de l’appelant s’assimile, sous déduction de la détention avant jugement, à une courte peine privative de liberté (moins de six mois [huit mois – 68 jours]). Selon l’art. 79 al. 1 CP, les peines privatives de liberté de moins de six mois et les soldes de peine de moins de six mois après imputation de la détention subie avant le jugement sont en règle générale exécutées sous la forme de la semi-détention. Cette disposition vise en particulier les peines privatives de liberté d’une durée supérieure à six mois mais dont le solde, après imputation de la détention subie avant jugement, est de moins de six mois (Viredaz/Vallotton, in : Roth/Moreillon [éd.], Commentaire Romand, Code pénal I, Bâle 2009, n. 3 ad art. 79 CP). La peine infligée tombant sous le champ d’application de l’art. 79 al. 1 CP, il y a lieu de constater que son exécution ne portera pas notablement atteinte à l’avenir de l’appelant, contrairement à ce qu’il soutient.</w:t>
      </w:r>
    </w:p>
    <w:p>
      <w:r>
        <w:rPr>
          <w:b/>
        </w:rPr>
        <w:t>E. 4</w:t>
      </w:r>
    </w:p>
    <w:p>
      <w:r>
        <w:t>En définitive, l’appel de I.________ doit être rejeté et le jugement attaqué entièrement confirmé. Vu l'issue de la cause, les frais d'appel doivent être mis à la charge de I.________ (art. 428 al. 1 CPP). Outre l'émolument, qui se monte à 2’020 fr. (art. 21 al. 1 et 2 TFIP [Tarif des frais de procédure et indemnités en matière pénale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1’836 fr, TVA et débours inclus. L'indemnité pour les frais de la procédure d'appel allouée à B.K.________ et C.K.________ sera fixée à 777 fr. 60. I.________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