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203 vom 10. April 2014</w:t>
      </w:r>
    </w:p>
    <w:p>
      <w:r>
        <w:t>VD Tribunal cantonal, 2014-04-10, FR</w:t>
      </w:r>
    </w:p>
    <w:p>
      <w:r>
        <w:rPr>
          <w:b/>
        </w:rPr>
        <w:t xml:space="preserve">Quelle: </w:t>
      </w:r>
      <w:r>
        <w:t>https://mcp.opencaselaw.ch/entscheid/vd_findinfo_Jug___2014___203</w:t>
      </w:r>
    </w:p>
    <w:p>
      <w:r>
        <w:t>FR: VD_FINDINFO Jug / 2014 / 203 du 10 avril 2014</w:t>
      </w:r>
    </w:p>
    <w:p>
      <w:r>
        <w:t>IT: VD_FINDINFO Jug / 2014 / 203 del 10 aprile 2014</w:t>
      </w:r>
    </w:p>
    <w:p>
      <w:pPr>
        <w:pStyle w:val="Heading2"/>
      </w:pPr>
      <w:r>
        <w:t>Regeste</w:t>
      </w:r>
    </w:p>
    <w:p>
      <w:r>
        <w:t>NON-LIEU | 11 CPP (CH), 310 CPP (CH), 323 CPP (CH), 393 al. 1 let. a CPP (CH)</w:t>
      </w:r>
    </w:p>
    <w:p>
      <w:pPr>
        <w:pStyle w:val="Heading2"/>
      </w:pPr>
      <w:r>
        <w:t>Erwägungen</w:t>
      </w:r>
    </w:p>
    <w:p>
      <w:r>
        <w:rPr>
          <w:b/>
        </w:rPr>
        <w:t>E. 1</w:t>
      </w:r>
    </w:p>
    <w:p>
      <w:r>
        <w:t>Interjeté dans le délai légal (art. 322 al. 2 CPP [Code de procédure pénale suisse du 5 octobre 2007; RS 312.0] et art. 396 al. 1 CPP) par une partie plaignante qui a qualité pour recourir (art. 382 al. 1 CPP) contre une décision du Ministère public (art. 393 al. 1 let. a CPP), le recours est déposé en temps utile; il satisfait en outre aux autres conditions légales (art. 385 al. 1 CPP), de sorte qu’il est recevable en la forme.</w:t>
      </w:r>
    </w:p>
    <w:p>
      <w:r>
        <w:rPr>
          <w:b/>
        </w:rPr>
        <w:t>E. 2</w:t>
      </w:r>
    </w:p>
    <w:p>
      <w:r>
        <w:t>a) Aux termes de l'art. 310 al. 1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in : Kuhn/Jeanneret [éd.],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Parmi les empêchements définitifs de procéder, au sens de la disposition précitée, figurent les cas d'extinction de l'action publique, soit notamment la chose jugée (Cornu, in : Kuhn/Jeanneret [éd.], op. cit.,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dans ce cas, l'action pénale ne peut plus être engagée (Piquerez/Macaluso, Procédure pénale suisse, 3 e éd., 2011, n. 580 et nn. 1573 s.; sur le tout : CREP 14 mars 2013/291 c. 2.1). b) Sous le titre "interdiction de la double poursuite", qui correspond à la locution latine ne bis in idem (Hottelier, in: Kuhn/Jeanneret (éd.), op. cit., n. 1 ad art. 11 CPP), l’art. 11 al. 1 CPP dispose qu’aucune personne condamnée ou acquittée en Suisse par un jugement entré en force ne peut être poursuivie une nouvelle fois pour la même infraction. L’al. 2 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En effet, si une ordonnance de classement entrée en force équivaut à un acquittement (art. 320 al.</w:t>
      </w:r>
    </w:p>
    <w:p>
      <w:r>
        <w:rPr>
          <w:b/>
        </w:rPr>
        <w:t>E. 4</w:t>
      </w:r>
    </w:p>
    <w:p>
      <w:r>
        <w:t>Manifestement mal fondé, le recours doit être rejeté sans autre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RSV 312.03.1]), seront donc mis à la charge de la recourante, qui succombe (art. 428 al. 1 CPP), sous déduction du montant de 440 fr. déjà versé à titre de sûretés par S.________ le 12 mars 2014 (art. 7 TFIP). Par ces motifs, la Chambre des recours pénale, statuant à huis clos prononce : I. Le recours est rejeté. II. L'ordonnance du 28 février 2014 est confirmée. III. Les frais de la procédure de recours, par 990 fr. (neuf cent nonante francs), sont mis à la charge de la recourante. IV. Le montant de 440 fr. (quatre cent quarante francs) déjà versé par la recourante à titre de sûretés est imputé sur les frais mis à sa charge au chiffre III ci-dessus . V. Le présent arrêt est exécutoire. Le président :               La greffière : Du L'arrêt qui précède, dont la rédaction a été approuvée à huis clos, est notifié, par l'envoi d'une copie complète, à : - S.________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