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 vom 5. September 2013</w:t>
      </w:r>
    </w:p>
    <w:p>
      <w:r>
        <w:t>VD Tribunal cantonal, 2013-09-05, FR</w:t>
      </w:r>
    </w:p>
    <w:p>
      <w:r>
        <w:rPr>
          <w:b/>
        </w:rPr>
        <w:t xml:space="preserve">Quelle: </w:t>
      </w:r>
      <w:r>
        <w:t>https://mcp.opencaselaw.ch/entscheid/vd_findinfo_Jug___2014___2</w:t>
      </w:r>
    </w:p>
    <w:p>
      <w:r>
        <w:t>FR: VD_FINDINFO Jug / 2014 / 2 du 5 septembre 2013</w:t>
      </w:r>
    </w:p>
    <w:p>
      <w:r>
        <w:t>IT: VD_FINDINFO Jug / 2014 / 2 del 5 settembre 2013</w:t>
      </w:r>
    </w:p>
    <w:p>
      <w:pPr>
        <w:pStyle w:val="Heading2"/>
      </w:pPr>
      <w:r>
        <w:t>Regeste</w:t>
      </w:r>
    </w:p>
    <w:p>
      <w:r>
        <w:t>CONSTATATION DES FAITS, FIXATION DE LA PEINE, SURSIS À L'EXÉCUTION DE LA PEINE | 42 al. 1 CP, 47 CP, 10 CPP (CH)</w:t>
      </w:r>
    </w:p>
    <w:p>
      <w:pPr>
        <w:pStyle w:val="Heading2"/>
      </w:pPr>
      <w:r>
        <w:t>Erwägungen</w:t>
      </w:r>
    </w:p>
    <w:p>
      <w:r>
        <w:rPr>
          <w:b/>
        </w:rPr>
        <w:t>E. 1</w:t>
      </w:r>
    </w:p>
    <w:p>
      <w:r>
        <w:t>Interjeté dans les formes et délai légaux par une partie ayant la qualité pour recourir contre le jugement d’un tribunal de première instance qui a clos la procédure (art. 398 al. 1 CPP [Code de procédure pénale suisse du 5 octobre 2007, RS 312.0]), l’appel de Q.________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L’appelant conteste avoir agressé le plaignant et lui avoir volé son téléphone portable. Il soutient avoir acheté cet appareil à un individu la nuit des faits.</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Dans cette mesure, la présomption d'innocence se confond avec l'interdiction générale de l'arbitraire, prohibant une appréciation reposant sur des preuves inadéquates ou sans pertinence (TF 6B_216/2010 du 11 mai 2010 c. 1.1.1 et 1.1.2 et la jurisprudence citée).</w:t>
      </w:r>
    </w:p>
    <w:p>
      <w:r>
        <w:rPr>
          <w:b/>
        </w:rPr>
        <w:t>E. 3.2</w:t>
      </w:r>
    </w:p>
    <w:p>
      <w:r>
        <w:t>En l’espèce, le plaignant s’est fait voler son Iphone 5 le 6 avril 2013 à 05h05 et a appelé la police à 05h07. Peu de temps après, il a reconnu son agresseur à proximité alors qu’il se trouvait dans le véhicule de Police-secours. Le prévenu a été appréhendé à 05h20. Lors de son interpellation, la police a retrouvé le portable dans la manche de sa veste. A l’Hôtel de police, la victime a une nouvelle fois reconnu son agresseur. Tel a également été le cas à l’audience d’appel. L’appelant a toujours nié les faits reprochés. Lors de son audition à la police, il a déclaré avoir acheté l’appareil la nuit des faits, aux alentours de minuit, à un Somalien pour 175 fr. (PV aud. 2, p. 3). Devant le premier juge, il a indiqué avoir acquis cet objet pour un montant de 75 fr. (jgt., p. 3). Enfin, aux débats d’appel, il a précisé qu’il avait acheté l’appareil à ce même prix vers 3-4 heures du matin. Les déclarations du prévenu ont ainsi varié en cours de procédure. Ses explications relatives à l’achat de l’appareil pour 175 fr. ou 75 fr. ne sont pas crédibles. De surcroît, selon ses premières déclarations, le portable aurait été acheté avant la commission du vol. En outre, il n’existe aucun motif de s’écarter des déclarations précises et constantes de la victime sur les violences subies. Compte tenu de l’unité de lieux et de temps ainsi que de l’identification formelle du prévenu par le plaignant avant que la police ne trouve l’Iphone sur lui, il n’existe aucun doute sur la culpabilité de l’appelant.</w:t>
      </w:r>
    </w:p>
    <w:p>
      <w:r>
        <w:rPr>
          <w:b/>
        </w:rPr>
        <w:t>E. 4.1</w:t>
      </w:r>
    </w:p>
    <w:p>
      <w:r>
        <w:t>Aux termes de l’art. 140 ch. 1 al. 1 CP,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w:t>
      </w:r>
    </w:p>
    <w:p>
      <w:r>
        <w:rPr>
          <w:b/>
        </w:rPr>
        <w:t>E. 4.2</w:t>
      </w:r>
    </w:p>
    <w:p>
      <w:r>
        <w:t>En l’espèce, le prévenu a menacé sa victime au moyen d’un tesson de bouteille et lui a asséné deux coups de pied afin de lui dérober son portable. Par conséquent, il doit être reconnu coupable de brigandage au sens de l’art. 140 ch. 1 al. 1 CP.</w:t>
      </w:r>
    </w:p>
    <w:p>
      <w:r>
        <w:rPr>
          <w:b/>
        </w:rPr>
        <w:t>E. 5</w:t>
      </w:r>
    </w:p>
    <w:p>
      <w:r>
        <w:t>Il convient d’examiner la peine à infliger à l’appelant.</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w:t>
      </w:r>
    </w:p>
    <w:p>
      <w:r>
        <w:rPr>
          <w:b/>
        </w:rPr>
        <w:t>E. 5.2</w:t>
      </w:r>
    </w:p>
    <w:p>
      <w:r>
        <w:t>En l’espèce, la culpabilité de Q.________ est importante. Les faits qui lui sont reprochés sont graves. En particulier, il n’a pas hésité, pour se procurer un téléphone portable, à frapper sa victime et à la menacer au moyen d’un tesson de bouteille. Par appât du gain, il s’est adonné à un trafic de cannabis. Par ailleurs, les infractions dont il doit répondre sont en concours. En seulement deux ans, il s’agit de sa quatrième condamnation par les autorités pénales suisses. Enfin, s’agissant du brigandage notamment, l’appelant a persisté à nier les faits contre l’évidence, ce qui dénote une absence totale de prise de conscience. A décharge, seuls seront retenus sa situation précaire et le fait qu’il a spontanément reconnu ses ventes et sa consommation de stupéfiants. Compte tenu des éléments qui précèdent, la peine de 12 mois de privation de liberté prononcée par le premier juge s’avère adéquate, même si elle paraît plutôt clémente au regard de l’agression commise, de sorte qu’elle doit être confirmée.</w:t>
      </w:r>
    </w:p>
    <w:p>
      <w:r>
        <w:rPr>
          <w:b/>
        </w:rPr>
        <w:t>E. 5.3</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CP prévoit que le juge peut suspendre partiellement l’exécution d’une peine pécuniaire, d’un travail d’intérêt général ou d’une peine pécuniaire d’un an au moins et de trois ans au plus afin de tenir compte de façon appropriée de la faute de l’auteur. En l’espèce, compte tenu des condamnations précédentes qui n’ont pas empêché le prévenu de récidiver et de la gravité croissante des infractions commises, celui-ci n’ayant pas hésité à faire preuve de violence physique, le pronostic ne peut qu’être entièrement défavorable. L’appelant ne saurait bénéficier du sursis.</w:t>
      </w:r>
    </w:p>
    <w:p>
      <w:r>
        <w:rPr>
          <w:b/>
        </w:rPr>
        <w:t>E. 6</w:t>
      </w:r>
    </w:p>
    <w:p>
      <w:r>
        <w:t>En définitive, l’appel de Q.________ doit être rejeté et le jugement entrepris entièrement confirmé.</w:t>
      </w:r>
    </w:p>
    <w:p>
      <w:r>
        <w:rPr>
          <w:b/>
        </w:rPr>
        <w:t>E. 7</w:t>
      </w:r>
    </w:p>
    <w:p>
      <w:r>
        <w:t>Vu l’issue de la cause, les frais de la procédure d'appel, comprenant l’émolument du jugement, par 1’390 fr. (art. 21 al. 1 et 2 TFJP [Tarif des frais judiciaires pénaux du 28 septembre 2010; RSV 312.03.1]), ainsi que l’indemnité allouée au défenseur d'office, par 907 fr. 20, TVA comprise, sont mis à la charge de l’appelant (art. 428 al. 1 CPP). Q.________ ne sera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