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192 vom 5. Februar 2014</w:t>
      </w:r>
    </w:p>
    <w:p>
      <w:r>
        <w:t>VD Tribunal cantonal, 2014-02-05, FR</w:t>
      </w:r>
    </w:p>
    <w:p>
      <w:r>
        <w:rPr>
          <w:b/>
        </w:rPr>
        <w:t xml:space="preserve">Quelle: </w:t>
      </w:r>
      <w:r>
        <w:t>https://mcp.opencaselaw.ch/entscheid/vd_findinfo_Jug___2014___192</w:t>
      </w:r>
    </w:p>
    <w:p>
      <w:r>
        <w:t>FR: VD_FINDINFO Jug / 2014 / 192 du 5 février 2014</w:t>
      </w:r>
    </w:p>
    <w:p>
      <w:r>
        <w:t>IT: VD_FINDINFO Jug / 2014 / 192 del 5 febbraio 2014</w:t>
      </w:r>
    </w:p>
    <w:p>
      <w:pPr>
        <w:pStyle w:val="Heading2"/>
      </w:pPr>
      <w:r>
        <w:t>Regeste</w:t>
      </w:r>
    </w:p>
    <w:p>
      <w:r>
        <w:t>LOI FÉDÉRALE SUR LES ARMES, LES ACCESSOIRES D'ARMES ET LES MUNITIONS, INDEMNITÉ{EN GÉNÉRAL} | 4 al. 1 let. d LArm, 429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d’O.I.________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à la LArm a fait l’objet du jugement de première instance, de sorte que l’appel est retreint.</w:t>
      </w:r>
    </w:p>
    <w:p>
      <w:r>
        <w:rPr>
          <w:b/>
        </w:rPr>
        <w:t>E. 2</w:t>
      </w:r>
    </w:p>
    <w:p>
      <w:r>
        <w:t>L’appelant invoque l'erreur sur l'illicéité. Il soutient qu'il pensait agir en toute légalité.</w:t>
      </w:r>
    </w:p>
    <w:p>
      <w:r>
        <w:rPr>
          <w:b/>
        </w:rPr>
        <w:t>E. 2.1</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 3.1). Il pense, à tort, que l'acte concret qu'il commet est conforme au droit. Déterminer ce que l'auteur d'une infraction a su, cru ou voulu et, en particulier, l'existence d'une erreur relève de l'établissement des faits (cf. ATF 135 IV 152 c. 2.3.2; TF 6B_403/2013 du 27 juin 2013 c. 1.1; TF 6B_139/2010 du 24 septembre 2010 c. 4.1, in JT 2010 I 576). Les conséquences pénales d'une erreur sur l'illicéité dépendent de son caractère évitable ou inévitable. L'auteur qui commet une erreur inévitable est non coupable et doit être acquitté (art. 21, 1 re phrase, CP). Tel est le cas s'il a des raisons suffisantes de se croire en droit d'agir (ATF 128 IV 201 c. 2). Une raison de se croire en droit d'agir est « suffisante » lorsqu'aucun reproche ne peut lui être adressé parce que son erreur provient de circonstances qui auraient pu induire en erreur tout homme consciencieux (ATF 98 IV 293 c. 4a; cf. FF 1999 p. 1814). En revanche, celui dont l'erreur sur l'illicéité est évitable commet une faute, mais sa culpabilité est diminuée. Il restera punissable, mais verra sa peine obligatoirement atténuée (art. 21, 2 e phrase, CP; FF 1999 p. 1814). L'erreur sera notamment considérée comme évitable lorsque l'auteur avait ou aurait dû avoir des doutes quant à l'illicéité de son comportement (ATF 121 IV 109 c. 5) ou s'il a négligé de s'informer suffisamment alors qu'il savait qu'une réglementation juridique existait (ATF 120 IV 208 c. 5b). Savoir si une erreur était évitable ou non est une question de droit (cf. ATF 75 IV 150 c. 3; TF 6B_403/2013 du 27 juin 2013 c. 1.1; TF 6B_139/2010 du 24 septembre 2010).</w:t>
      </w:r>
    </w:p>
    <w:p>
      <w:r>
        <w:rPr>
          <w:b/>
        </w:rPr>
        <w:t>E. 2.2</w:t>
      </w:r>
    </w:p>
    <w:p>
      <w:r>
        <w:t>En l’espèce, l'appelant a acheté un nunchaku télescopique dans les années 1990, soit avant l'entrée en vigueur de la LArm. A cette époque, il n'avait pas eu besoin d'un permis pour acquérir cet objet qui n'était pas considéré comme une arme. Or, depuis le 12 décembre 2008, le nunchaku télescopique entre dans la définition de l'art. 4 al. 1 let. d LArm et est dès lors assimilé à une arme soumise à autorisation (art. 5 al. 1 let. d LArm). En pratiquant les arts martiaux depuis une vingtaine d'années de temps en temps dans une salle de gymnastique en compagnie de quelques amis et non au sein d'un club de full-contact, l'appelant n’avait aucune raison de penser que l'utilisation d'un nunchaku télescopique était devenue interdite par une modification législative et qu’elle nécessitait depuis lors une autorisation. En ignorant le caractère illicite de la possession d'un tel objet, l'erreur d'O.I.________ était inévitable (art. 21, 1 re phrase, CP). Partant, l'appelant doit être reconnu non coupable d'infraction à la LArm.</w:t>
      </w:r>
    </w:p>
    <w:p>
      <w:r>
        <w:rPr>
          <w:b/>
        </w:rPr>
        <w:t>E. 3</w:t>
      </w:r>
    </w:p>
    <w:p>
      <w:r>
        <w:t>L'appelant conclut à l’octroi d’une indemnité au sens de l'art. 429 CPP.</w:t>
      </w:r>
    </w:p>
    <w:p>
      <w:r>
        <w:rPr>
          <w:b/>
        </w:rPr>
        <w:t>E. 3.1</w:t>
      </w:r>
    </w:p>
    <w:p>
      <w:r>
        <w:t>Dans les cas où les frais judiciaires sont mis à la charge de la partie qui succombe, il ne lui est, en règle générale, pas accordé de dépens; à l’inverse, lorsque les frais sont supportés par l’Etat, le prévenu a droit à des dépens (ATF 137 IV 352 c. 2.4.2). L’indemnisation des frais de défense est régie par l’art. 429 al. 1 let. a CPP, qui prévoit que le prévenu a droit à une indemnité pour les dépenses occasionnées par l’exercice raisonnable de ses droits de procédure s’il est acquitté totalement ou en partie. Selon le Message du Conseil fédéral, l’Etat ne prend en charge les frais de défense que si l’assistance d’un avocat était nécessaire compte tenu de la complexité de l’affaire en fait ou en droit et que le volume de travail et donc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(FF 2006 II 1313; TF 6B_392/2013 du 4 novembre 2013). Selon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professionnelle du prévenu (ATF 138 IV 197 c. 2.3.5).</w:t>
      </w:r>
    </w:p>
    <w:p>
      <w:r>
        <w:rPr>
          <w:b/>
        </w:rPr>
        <w:t>E. 3.2</w:t>
      </w:r>
    </w:p>
    <w:p>
      <w:r>
        <w:t>En l'espèce, la présente affaire porte sur une contravention objective à la LArm. La cause ne revêtait ainsi aucune difficulté en fait ou en droit qui nécessitait l’assistance d’un avocat. Aucune indemnité au sens de l’art. 429 CPP ne sera dès lors allouée à l’appelant pour ses frais d’avocat.</w:t>
      </w:r>
    </w:p>
    <w:p>
      <w:r>
        <w:rPr>
          <w:b/>
        </w:rPr>
        <w:t>E. 4</w:t>
      </w:r>
    </w:p>
    <w:p>
      <w:r>
        <w:t>En définitive, l'appel doit être partiellement admis et le jugement attaqué modifié en ce sens qu'O.I.________ doit être libéré de l'infraction à la LArm. Vu l’issue de la cause, les frais de la procédure d’appel, par 630 fr. (art. 21 al. 1 TFIP [Tarif des frais de procédure et indemnités en matière pénale du 28 septembre 2010;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