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190 vom 27. Juni 2008</w:t>
      </w:r>
    </w:p>
    <w:p>
      <w:r>
        <w:t>VD Tribunal cantonal, 2008-06-27, FR</w:t>
      </w:r>
    </w:p>
    <w:p>
      <w:r>
        <w:rPr>
          <w:b/>
        </w:rPr>
        <w:t xml:space="preserve">Quelle: </w:t>
      </w:r>
      <w:r>
        <w:t>https://mcp.opencaselaw.ch/entscheid/vd_findinfo_Jug___2014___190</w:t>
      </w:r>
    </w:p>
    <w:p>
      <w:r>
        <w:t>FR: VD_FINDINFO Jug / 2014 / 190 du 27 juin 2008</w:t>
      </w:r>
    </w:p>
    <w:p>
      <w:r>
        <w:t>IT: VD_FINDINFO Jug / 2014 / 190 del 27 giugno 2008</w:t>
      </w:r>
    </w:p>
    <w:p>
      <w:pPr>
        <w:pStyle w:val="Heading2"/>
      </w:pPr>
      <w:r>
        <w:t>Regeste</w:t>
      </w:r>
    </w:p>
    <w:p>
      <w:r>
        <w:t>MOTIF DE RÉVISION, DEMANDE ADRESSÉE À L'AUTORITÉ, RÉVISION{DÉCISION} | 412 al. 2 CPP (CH)</w:t>
      </w:r>
    </w:p>
    <w:p>
      <w:pPr>
        <w:pStyle w:val="Heading2"/>
      </w:pPr>
      <w:r>
        <w:t>Erwägungen</w:t>
      </w:r>
    </w:p>
    <w:p>
      <w:r>
        <w:rPr>
          <w:b/>
        </w:rPr>
        <w:t>E. 1</w:t>
      </w:r>
    </w:p>
    <w:p>
      <w:r>
        <w:t>Aux termes de l'art. 453 al. 1 CPP (Code de procédure pénale suisse du 5 octobre 2007; RS 312.0), les recours formés contre les décisions rendues avant l'entrée en vigueur du présent code sont traités selon l'ancien droit par les autorités compétentes sous l'empire de ce droit. Cette disposition vise également la révision, que le code classe parmi les voies de recours.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 1.1; Schmid, Schweizerische Strafprozessordnung, Praxiskommentar, 2009, n. 2 in fine ad art. 453 CPP; également Lieber, in : Donatsch/Hansjakob/Lieber [éd.], Kommentar zur Schweizerischen Strafprozessordnung, 2010, n. 5 ad art. 453 CPP). Cette réserve est toutefois sans portée en l’espèce, dès lors que, s’agissant d’une révision en faveur du condamné, le motif de révision prévu à l’art. 410 al. 1 let. a CPP correspond à celui de l’art. 385 CP (Code pénal; RS 311.0), qui n’a d’ailleurs formellement pas été abrogé (cf. Fingerhuth, in : Donatsch/ Hansjakob/Lieber [éd.], op. cit., n. 1 ad art. 410 CPP; Heer, in : Basler Kommentar, Schweizerische Strafprozessordnung, Bâle 2011, n. 7 ad art. 410 CPP). La cour de céans est donc compétente pour connaître de la présente requête (et de la demande de récusation qui en constitue l’accessoire), en application des nouvelles règles de procédure, dès lors que la Commission de révision pénale a cessé de fonctionner (art. 21 CPP et 14 LVCPP [Loi d’introduction du Code de procédure pénale suisse; RSV 312.01]; TF 6B_41/2012 du 28 juin 2012 c. 1.2).</w:t>
      </w:r>
    </w:p>
    <w:p>
      <w:r>
        <w:rPr>
          <w:b/>
        </w:rPr>
        <w:t>E. 2</w:t>
      </w:r>
    </w:p>
    <w:p>
      <w:r>
        <w:t>Selon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L’art. 411 al. 1 CPP prévoit que les demandes de révision doivent être motivées et adressées par écrit à la juridiction d'appel; les motifs de révision doivent être exposés et justifiés dans la demande. Comme déjà relevé dans l’arrêt du 24 mai 2013, il ne fait pas de doute que le requérant, condamné par le jugement du Tribunal criminel du 18 mars 2010, a qualité pour former une demande de révision. En outre, ce jugement est désormais entré en force, le Tribunal fédéral ayant, par son arrêt du 20 décembre 2011 déjà mentionné, rejeté le recours du requérant dirigé contre l’arrêt cantonal confirmant le jugement de première instance. Pour le surplus, la demande ne présente pas de vice formel; elle est motivée et il n’y a pas de délai pour déposer une telle requête.</w:t>
      </w:r>
    </w:p>
    <w:p>
      <w:r>
        <w:rPr>
          <w:b/>
        </w:rPr>
        <w:t>E. 3</w:t>
      </w:r>
    </w:p>
    <w:p>
      <w:r>
        <w:t>La requête de récusation jointe à la demande de révision est implicitement dirigée contre les juges de céans, qui ont rejeté les deux précédentes demandes de révision, déposées respectivement en 2011 et 2013. La cour avait aussi rejeté une précédente requête de récusation similaire, et, comme le rappelle le requérant, le Tribunal fédéral avait confirmé que le motif invoqué ne justifiait pas une récusation (TF 6F_3/2012 du 16 mars 2012 c. 1.2; cf. aussi, quant aux motifs généraux de récusation, ATF 129 III 445 c. 3.3.3 p. 454, avec référence à ATF 126 I 68 c. 3a p. 73). Il s’ensuit que la demande de récusation est mal fondée.</w:t>
      </w:r>
    </w:p>
    <w:p>
      <w:r>
        <w:rPr>
          <w:b/>
        </w:rPr>
        <w:t>E. 4</w:t>
      </w:r>
    </w:p>
    <w:p>
      <w:r>
        <w:t>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(TF 6B_310/2011 c. 1.6; TF 6B_415/2012 c. 1.1; CAPE, 5 mars 2014/76). Doit en particulier être considérée comme d’emblée mal fondée une demande invoquant un élément nouveau qui n’est pas un fait ou un moyen de preuve de nature à motiver l’acquittement ou une condamnation sensiblement moins sévère au sens de l’art. 410 CPP, c’est-à-dire propre à ébranler les constatations de fait sur lesquelles la condamnation est fondée (ATF 130 IV 72 c. 1; ATF 116 IV 353). A l’appui de sa requête, N.________ invoque, comme seul fait ou moyen de preuve inconnu du premier juge, certains passages du livre écrit sur cette affaire par le journaliste [...] et publié après achèvement de la procédure pénale, dont le requérant ne soutient au demeurant pas qu’il constituerait une contre- enquête en sa faveur, bien au contraire (requête, p. 29). Le requérant explique que l’auteur a demandé à son frère, [...], comment les homicides s’étaient passés, selon lui. Celui-ci a décrit la scène qu’il imaginait, en se fondant sur les éléments connus, à l’époque, du dossier - parmi lesquels le fait qu’une paire de ciseaux avait été retrouvée à proximité du corps de sa mère, [...], et dont il a été supposé qu’elle s’était défendue contre son agresseur avec cet objet - et ses propres souvenirs. Il dit notamment se souvenir que sa mère gardait depuis qu’il était petit une paire de ciseaux dans une certaine armoire. Selon le requérant, cette relation précise des événements et l’information donnée au sujet des ciseaux constitueraient la preuve de mensonges et donc de la culpabilité de son frère, partant de sa propre innocence. Pour le surplus, et en se fondant sur ce qui précède, le requérant ressasse sur quelque vingt-cinq pages d’élucubrations les éléments connus du dossier. La position du requérant ne saurait être suivie. La description imaginée de la scène des crimes par [...], citée par [...], ne fournit aucun élément révélateur de sa culpabilité et donc de nature à disculper le requérant. En particulier, le fait que [...] invoque un souvenir d’enfance ne contredit pas sa déclaration faite durant l’enquête, selon laquelle il n’était pas retourné dans la maison familiale depuis des années au moment des homicides. De même, on ne peut pas dire que l’intéressé avoue ainsi un fait que seul l’assassin aurait pu connaître, comme le laisse entendre le requérant, puisqu’on ne sait pas où étaient rangés les ciseaux, depuis quand. On ne saurait donc parler d’un élément nouveau au sens légal. Dans d’autres affaires, il arrive que le livre d’un journaliste, qui effectue une « contre-enquête » et recueille de nouveaux témoignages, amène des faits ou des moyens de preuve nouveaux, propres à justifier une révision. Le requérant ne prétend toutefois pas que l’ouvrage de [...] constituerait une contre-enquête en sa faveur (ce livre a été qualifié de très partial, écartant les preuves en sa faveur). En l’occurrence, ce sont seulement deux passages du livre qui sont invoqués (p. 29 de la requête) : celui où [...] imagine le déroulement des faits sur la base de ses souvenirs de l’aménagement et de l’ameublement de la maison familiale; et celui où le Procureur général explique comment il a construit son raisonnement et acquis une conviction suffisante pour requérir la condamnation du requérant. A la page 21 de sa requête, N.________ évoque une lettre de son frère du 7 janvier 1997 à leur mère qui aurait été « inconnue du premier juge ». On ne comprend pas bien s’il entend simplement par là qu’elle aurait passé inaperçue du premier juge, car il ne prétend pas avoir découvert récemment ce document. Quoi qu’il en soit, selon lui, cette lettre « annonçait clairement les actes à venir ». Là encore, l’argument ne vaut rien. Certes, cette lettre est véhémente et agressive, mais de là y voir la chronique d’un homicide annoncé huit ans à l’avance, il y a un fossé qu’on ne peut franchir. Les relations difficiles de [...] avec sa mère étaient parfaitement connues durant l’enquête et ont été prises en compte dans le jugement de l’affaire.</w:t>
      </w:r>
    </w:p>
    <w:p>
      <w:r>
        <w:rPr>
          <w:b/>
        </w:rPr>
        <w:t>E. 5</w:t>
      </w:r>
    </w:p>
    <w:p>
      <w:r>
        <w:t>Il découle de ce qui précède que les moyens de révision invoqués apparaissent d'emblée mal fondés au sens de l’art. 412 al. 2 CPP. La demande de révision doit dès lors être considérée comme irrecevable (art. 413 al. 1 CPP). La requête de récusation suivra le même sort. Vu l'issue de la cause, les frais de révision, arrêtés à 770 fr. (art. 21 TFIP [Tarif des frais de procédure et indemnités en matière pénale du 28 septembre 2010; RSV 312.03.1]), sont mis à la charge du requérant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