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185 vom 4. Februar 2014</w:t>
      </w:r>
    </w:p>
    <w:p>
      <w:r>
        <w:t>VD Tribunal cantonal, 2014-02-04, FR</w:t>
      </w:r>
    </w:p>
    <w:p>
      <w:r>
        <w:rPr>
          <w:b/>
        </w:rPr>
        <w:t xml:space="preserve">Quelle: </w:t>
      </w:r>
      <w:r>
        <w:t>https://mcp.opencaselaw.ch/entscheid/vd_findinfo_Jug___2014___185</w:t>
      </w:r>
    </w:p>
    <w:p>
      <w:r>
        <w:t>FR: VD_FINDINFO Jug / 2014 / 185 du 4 février 2014</w:t>
      </w:r>
    </w:p>
    <w:p>
      <w:r>
        <w:t>IT: VD_FINDINFO Jug / 2014 / 185 del 4 febbraio 2014</w:t>
      </w:r>
    </w:p>
    <w:p>
      <w:pPr>
        <w:pStyle w:val="Heading2"/>
      </w:pPr>
      <w:r>
        <w:t>Regeste</w:t>
      </w:r>
    </w:p>
    <w:p>
      <w:r>
        <w:t>FIXATION DE LA PEINE | 47 CP, 57 al. 2 CP, 57 al. 3 CP</w:t>
      </w:r>
    </w:p>
    <w:p>
      <w:pPr>
        <w:pStyle w:val="Heading2"/>
      </w:pPr>
      <w:r>
        <w:t>Erwägungen</w:t>
      </w:r>
    </w:p>
    <w:p>
      <w:r>
        <w:rPr>
          <w:b/>
        </w:rPr>
        <w:t>E. 1</w:t>
      </w:r>
    </w:p>
    <w:p>
      <w:r>
        <w:t>a) Interjetés dans les formes et délais légaux par des parties ayant la qualité pour recourir contre le jugement d’un tribunal de première instance qui a clos la procédure (art. 398 al. 1 CPP), l’appel du Ministère public et l'appel joint de B.________ sont recevables. b)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Le Ministère public demande en conséquence qu'une peine privative de liberté indépendante de 42 mois soit prononcée. Il fait valoir qu'une telle peine est adéquate pour sanctionner les infractions retenues, B.________ étant ancré dans la délinquance, actif dans le cambriolage depuis trois décennies et qu'il s'agit de son 16 ème passage devant la justice. Dans son appel joint, le condamné considère qu'une peine privative de liberté de 30 mois, sans sursis partiel, serait suffisante à sanctionner son comportement.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 b) En l'occurrence, comme l'ont relevé les premiers juges, la culpabilité de B.________ est lourde, compte tenu du concours et de la gravité objective des faits – le prévenu a commis 26 cambriolages entre le 31 mai 2012 et le 18 mars 2013 – mais aussi sur un plan subjectif en raison de l'importance de ses antécédents judiciaires et du fait que B.________ a profité que les victimes étaient absentes de leur domicile en raison d'obsèques pour commettre ses vols. A décharge, il convient de prendre en considération les aveux, les reconnaissantes de dettes signées aux débats et une responsabilité légèrement diminuée en raison de l'addiction de B.________ à la cocaïne. Cela étant, une peine privative de liberté indépendante de 36 mois ainsi qu'une amende de 300 fr. sont adéquates pour réprimer le comportement de B.________. Les 318 jours de détention subis avant jugement seront déduits.</w:t>
      </w:r>
    </w:p>
    <w:p>
      <w:r>
        <w:rPr>
          <w:b/>
        </w:rPr>
        <w:t>E. 4</w:t>
      </w:r>
    </w:p>
    <w:p>
      <w:r>
        <w:t>L'appelant par voie de jonction demande encore à être indemnisé pour les 17 jours de détention illégale constatée par le Tribunal des mesures de contrainte selon l'ordonnance du 8 juillet 2013. Il chiffre ses prétentions à 450 francs. En l’espèce, il est avéré que B.________ a été détenu dans la zone carcérale de la Blécherette au-delà de la durée maximale de 48 heures. Il est par ailleurs notoire que les cellules dans ces locaux n’ont pas de fenêtres et sont éclairées en permanence et que le droit à la promenade ne s'effectue pas en plein air. Ces conditions de détention, qui ont été constatées dans le cadre de l'ordonnance rendue le 8 juillet 2013 par le Tribunal des mesures de contrainte, ne sont pas licites au regard de l’art. 3 CEDH et des dispositions en la matière, notamment des art. 10 ss LEDJ (cf. ATF 139 IV 41). Cela étant, s’il se justifie qu’un détenu se prévale de l’irrégularité de sa détention à l’appui d’une demande de libération, des conditions de détention telles que celles dont il est fait état ci-dessus ne sauraient encore à elles seules justifier une indemnisation automatique, d’une part, et dès l’échéance du délai de l’art. 27 LVCPP, d’autre part. A tout le moins, lorsque, comme en l’espèce, les conditions irrégulières de détention ne représentent qu’une durée modeste, soit de quelques jours, et que cette détention irrégulière au regard des principes précités correspond à une fraction infime de la peine privative de liberté à laquelle le prévenu est condamné en définitive, on ne saurait considérer que de telles conditions justifient une réparation financière, allant au-delà de la constatation de l’irrégularité. Par conséquent, compte tenu de la brièveté de l’atteinte alléguée par le prévenu et du fait que le seuil de gravité requis par l’art. 49 CO n’est pas atteint, il ne se justifie pas de lui allouer une compensation financière en raison de ses conditions de détention.</w:t>
      </w:r>
    </w:p>
    <w:p>
      <w:r>
        <w:rPr>
          <w:b/>
        </w:rPr>
        <w:t>E. 5</w:t>
      </w:r>
    </w:p>
    <w:p>
      <w:r>
        <w:t>En définitive, l'appel du Ministère public doit être partiellement admis et l'appel joint de B.________ rejeté. La détention subie depuis le jugement de première instance doit être déduite. En outre, le maintien en détention de B.________ à titre de sûreté sera ordonné. Vu l’issue de la cause, les frais d’appel, constitués en l'espèce de l'émolument de jugement, par 2'380 fr. (art. 422 al. 1 CPP; 21 al. 1 et 2 TFIP [Tarif des frais de procédure et indemnités en matière pénale du 28 septembre 2010, RSV 312.03.1]), et de l'indemnité due à son défenseur d'office pour la procédure d'appel, par 1'809 fr. 20, débours et TVA compris, doivent être mis à la charge de B.________, qui succombe (art. 428 al. 1 CPP). B.________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