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181 vom 11. April 2014</w:t>
      </w:r>
    </w:p>
    <w:p>
      <w:r>
        <w:t>VD Tribunal cantonal, 2014-04-11, FR</w:t>
      </w:r>
    </w:p>
    <w:p>
      <w:r>
        <w:rPr>
          <w:b/>
        </w:rPr>
        <w:t xml:space="preserve">Quelle: </w:t>
      </w:r>
      <w:r>
        <w:t>https://mcp.opencaselaw.ch/entscheid/vd_findinfo_Jug___2014___181</w:t>
      </w:r>
    </w:p>
    <w:p>
      <w:r>
        <w:t>FR: VD_FINDINFO Jug / 2014 / 181 du 11 avril 2014</w:t>
      </w:r>
    </w:p>
    <w:p>
      <w:r>
        <w:t>IT: VD_FINDINFO Jug / 2014 / 181 del 11 aprile 2014</w:t>
      </w:r>
    </w:p>
    <w:p>
      <w:pPr>
        <w:pStyle w:val="Heading2"/>
      </w:pPr>
      <w:r>
        <w:t>Regeste</w:t>
      </w:r>
    </w:p>
    <w:p>
      <w:r>
        <w:t>VIOLATION DES RÈGLES DE LA CIRCULATION, ADMINISTRATION DES PREUVES, DISTANCE ENTRE VÉHICULES | 34 al. 4 LCR, 90 ch. 1 LCR, 12 al. 1 OCR, 398 al. 4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est recevable. Comme déjà indiqué à l’appelant par la direction de la procédure, l’appel relève de la procédure écrite, dès lors qu’il ne porte que sur une contravention (art. 406 al. 1 let. c CPP). Par identité de motif, il ressortit à la compétence du juge unique (art. 14 al. 3 LVCPP).</w:t>
      </w:r>
    </w:p>
    <w:p>
      <w:r>
        <w:rPr>
          <w:b/>
        </w:rPr>
        <w:t>E. 2</w:t>
      </w:r>
    </w:p>
    <w:p>
      <w:r>
        <w:t>Aux termes de l’art. 398 CPP, la juridiction d’appel jouit d’un plein pouvoir d’examen sur tous les points attaqués du jugement (al. 2). Toutefois,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rPr>
          <w:b/>
        </w:rPr>
        <w:t>E. 3.1</w:t>
      </w:r>
    </w:p>
    <w:p>
      <w:r>
        <w:t>Faisant grief au premier juge d’une constatation incomplète ou erronée des faits, l’appelant se prévaut de la violation de la présomption d’innocence, soit du principe in dubio pro reo . Il considère que c’est à tort que le tribunal de police a écarté les déclarations des deux témoins dont il a demandé l’audition au profit de celles des dénonciateurs également entendus comme témoins aux débats. Il fait valoir en outre que l’un des deux gendarmes s’était trompé au sujet de la distance de sécurité entre les véhicules et que le témoin [...], bien qu’assis sur la banquette arrière, n’en disposait pas moins d’une bonne visibilité sur le trafic, contrairement à ce qu’a retenu le premier juge, et que ce témoin aurait été d’autant plus attentif à la sécurité du trafic qu’il avait perdu un proche dans un accident de la route, la retranscription de sa déposition étant à cet égard lacunaire.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w:t>
      </w:r>
    </w:p>
    <w:p>
      <w:r>
        <w:rPr>
          <w:b/>
        </w:rPr>
        <w:t>E. 3.3</w:t>
      </w:r>
    </w:p>
    <w:p>
      <w:r>
        <w:t>En l’espèce, le prévenu perd de vue qu’il lui appartenait de démontrer, conformément à l’art. 398 al. 4 CPP, que les faits retenus ont été établis de manière manifestement inexacte, c’est-à-dire arbitraire, dans le cadre de l’appel restreint ouvert par cette disposition. Or, il est au contraire manifeste que le premier juge a apprécié les preuves de manière circonstanciée, en prenant en compte l’ensemble des éléments révélés par l’instruction. Il a ainsi motivé son choix de privilégier les constats des gendarmes au détriment des déclarations de témoins invoquées par l’appelant. En outre, il est évident que les dépositions d’agents assermentés qui n’ont aucun intérêt à l’issue de la procédure peuvent, sans verser dans l’arbitraire, être préférées aux déclarations de témoins, passager du véhicule de l’appelant au moment de l’interpellation, et dont l’un d’entre eux au moins est un ami. L’incertitude portant sur l’écart séparant les véhicules, compris entre cinq et quinze mètres, est inévitable au vu de l’ensemble des circonstances et n’affecte pas la constatation des faits, étant relevé que cet intervalle a pu varier quelque peu sur le tronçon d’environ 400 mètres emprunté durant la manœuvre de l’appelant. Pour le reste, les dépositions des dénonciateurs ne comportent ni incertitude, ni contradiction et établissent les faits litigieux même à défaut de l’usage de tout moyen technique de mesure. On ne distingue ainsi non seulement aucune appréciation arbitraire des preuves, mais également aucune violation de la présomption d’innocence par le tribunal de police. Au surplus, la qualification des faits incriminés n’est pas contestée. La condamnation de l’appelant pour violation simple des règles de la circulation routière doit ainsi être confirmée. Il s’ensuit que la demande d’indemnisation du prévenu fondée sur l’art. 429 CPP est sans objet.</w:t>
      </w:r>
    </w:p>
    <w:p>
      <w:r>
        <w:rPr>
          <w:b/>
        </w:rPr>
        <w:t>E. 4</w:t>
      </w:r>
    </w:p>
    <w:p>
      <w:r>
        <w:t>L’appel doit dès lors être rejeté. Vu l'issue de l’appel, les frais de la procédure d'appel doivent être mis à la charge du prévenu, qui succombe entièrement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