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18 vom 13. September 2013</w:t>
      </w:r>
    </w:p>
    <w:p>
      <w:r>
        <w:t>VD Tribunal cantonal, 2013-09-13, FR</w:t>
      </w:r>
    </w:p>
    <w:p>
      <w:r>
        <w:rPr>
          <w:b/>
        </w:rPr>
        <w:t xml:space="preserve">Quelle: </w:t>
      </w:r>
      <w:r>
        <w:t>https://mcp.opencaselaw.ch/entscheid/vd_findinfo_Jug___2014___18</w:t>
      </w:r>
    </w:p>
    <w:p>
      <w:r>
        <w:t>FR: VD_FINDINFO Jug / 2014 / 18 du 13 septembre 2013</w:t>
      </w:r>
    </w:p>
    <w:p>
      <w:r>
        <w:t>IT: VD_FINDINFO Jug / 2014 / 18 del 13 settembre 2013</w:t>
      </w:r>
    </w:p>
    <w:p>
      <w:pPr>
        <w:pStyle w:val="Heading2"/>
      </w:pPr>
      <w:r>
        <w:t>Regeste</w:t>
      </w:r>
    </w:p>
    <w:p>
      <w:r>
        <w:t>RECEL, TENTATIVE{DROIT PÉNAL}, VIOLENCE CONTRE LES AUTORITÉS, CONTRAINTE SEXUELLE, RÉVOCATION DU SURSIS | 160 ch. 1 CP, 189 CP, 22 CP, 285 ch. 1 CP, 46 al. 2 CP, 47 CP, 49 al. 1 CP, 69 CP, 70 CP</w:t>
      </w:r>
    </w:p>
    <w:p>
      <w:pPr>
        <w:pStyle w:val="Heading2"/>
      </w:pPr>
      <w:r>
        <w:t>Erwägungen</w:t>
      </w:r>
    </w:p>
    <w:p>
      <w:r>
        <w:rPr>
          <w:b/>
        </w:rPr>
        <w:t>E. 1</w:t>
      </w:r>
    </w:p>
    <w:p>
      <w:r>
        <w:t>Interjeté dans les forme et délais légaux contre le jugement d’un tribunal de première instance ayant clos la procédure (cf.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a) L’appelant conteste sa condamnation pour recel. Il fait valoir qu’en payant 40 fr. un téléphone portable, il ne savait pas, ni devait se douter que cet objet avait été volé. Il met en doute le vol préalable nécessaire au recel et conteste avoir réalisé le dessein spécial d’avoir acquis une chose de provenance douteuse. b) Aux termes de l'art. 160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point de savoir si l’auteur du délit préalable a été poursuivi ou puni est sans pertinence. Il suffit que l’acte initial réalise les conditions objectives d’un comportement pénalement répréhensible (ATF 101 IV 402 c. 2, p. 405 et les références citées). Comme en matière de blanchiment d’argent (art. 305 bis CP), la preuve stricte de l’acte préalable n’est pas exigée (ATF 120 IV 323 c. 3d, p. 328 ; TF 6B_141/2007 du 24 septembre 2007 c. 3.3.3). Il suffit que la valeur patrimoniale soit issue avec certitude d’un délit contre le patrimoine. Le recel peut se concevoir même lorsque l’auteur de l’acte préalable est inconnu, si la preuve peut être rapportée par le possesseur actuel d’une chose ne peut l’avoir acquise que d’un voleur inconnu (TF 6B_115/2007, du 24 septembre 2007 et la réf. à Hans Walder, Die Hehlerei gemäss StrGB Art. 144 - Kasuistik und Lehren, RPS 103/1986, p. 253). Enfin, le recel est une infraction intentionnelle, mais il suffit que l’auteur sache ou doive présumer, respectivement qu’il accepte l’éventualité que la chose provienne d’une infraction contre le patrimoine (dol éventuel; Bernard Corboz, Les infractions en droit suisse, vol. I, 3 e éd. 2010, art. 160 CP, n. 48). Il en va de même ainsi lorsque les circonstances suggèrent le soupçon de la provenance délictueuse (ATF 129 IV 230 c. 5.3.2, p. 236 s. et les références à l’ATF 119 IV 242 c. 2b, p. 247 et l’ATF 101 IV 402 c. 2, p. 405). c) En l’espèce, pour ce qui concerne l’existence de l’infraction préalable, rien ne permet de mettre en doute l’existence du vol tel que relaté par le propriétaire du téléphone portable et donc de suspecter qu’il aurait inventé ce détroussement, voire tenté de commettre une escroquerie au détriment de son assurance tout en prenant le risque d’aliéner cet objet. Au contraire, les circonstances de l’achat de rue telle que décrites par le prévenu consolident la vraisemblance du vol préalable, suivi le cas échéant de recels successifs. Quant à la présomption qu’il s’agissait d’un téléphone volé ou recelé, au vu du contexte de son achat à vil prix, soit le cinquantième de sa valeur, à la suite de l’interpellation d’un passant dans la rue par un vendeur inconnu disant avoir besoin d’argent, l’appelant devait à tout le moins accepter l’idée d’une provenance délictueuse. C’est donc à bon droit que l’appelant a été condamné pour recel.</w:t>
      </w:r>
    </w:p>
    <w:p>
      <w:r>
        <w:rPr>
          <w:b/>
        </w:rPr>
        <w:t>E. 4</w:t>
      </w:r>
    </w:p>
    <w:p>
      <w:r>
        <w:t>L’appelant ne conteste pas les faits qui se sont déroulés dans le train le 5 septembre 2012, ni la qualification pénale de tentative de violence ou menace contre les autorités et les fonctionnaires.</w:t>
      </w:r>
    </w:p>
    <w:p>
      <w:r>
        <w:rPr>
          <w:b/>
        </w:rPr>
        <w:t>E. 5</w:t>
      </w:r>
    </w:p>
    <w:p>
      <w:r>
        <w:t>a) C.________ conteste les faits retenus sous lettre C.d, ci-dessus. Il soutient que les premiers juges auraient systématiquement interprété les faits personnels le concernant de manière négative ou les aurais mis en doute sans autre base qu’une volonté d’alourdir sa culpabilité alors qu’il aurait admis les faits principaux dès le début de l’instruction, mais varié sur le déroulement de l’action tant pour des raisons de mémoire que pour des raisons de culture. Aux débats d’appel, il a reconnu l’entière véracité de la version de la victime, admis qu’il l’avait mise à terre dans une intention sexuelle, qu’elle ne voulait pas de contacts sexuels et qu’il l’avait laissée. Il a contesté toute pénétration anale. b)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Une solution n'est pas arbitraire du seul fait qu'une autre solution eût été possible. c) En l’espèce, après avoir dans un premier temps tout nié, C.________ a indiqué que le couple qu’il formait avec la plaignante s’était uniquement embrassé sur le chemin sans se déshabiller, ni totalement ni partiellement (PV aud. 1, p. 5, R13). Il a ensuite admis qu’il y aurait eu des ébats dans l’abri de bus (situé au débouché de l’avenue de Rumine sur celle du Léman, abri ouvert, muni d’un blanc, et « regardant » l’avenue de Rumine et le lac), qu’ils se seraient caressés, qu’elle lui aurait touché le pénis et qu’il aurait descendu un peu le jeans de la plaignante (PV aud. 7, p. 3, R5 et R6). Il a ensuite reconnu avoir éjaculé, mais nié avoir entretenu un rapport sexuel avec la plaignante dans cet abri et ne s’explique pas comment son sperme a été retrouvé sur le sous-vêtement et dans l’anus de R.________. Pendant toute l’enquête, le prévenu a vigoureusement contesté être allé dans le parc; il a toutefois indiqué, lors des débats de première instance, qu’il pensait que quelque chose s’était passé dans le parc, mais qu’il ne se souvenait pas vraiment quoi (jugement attaqué, p. 11). A l’audience d’appel, il a finalement admis que la version de la plaignante était totalement exacte, donc qu’il l’avait bien agressée sexuellement, mais sans cependant admettre la pénétration anale. Le prévenu tient donc un discours aussi variable que mensonger, comportant des incohérences comme le prétendu épisode sexuel sans déshabillage dans l’abri de bus, non seulement incompatible avec l’agression sexuelle du parc, mais de plus invraisemblable eu égard aux emplacements du sperme retrouvé impliquant le complet dénudement du bassin de la victime. Quant aux déclarations de R.________, elles sont, pour l’essentiel, constantes. Elles sont en outre appuyées par les traces de violences photographiées et relevées dans le constat de l’Unité de médecine des violences (P. 15/2), par des analyses ADN, par les constatations des enquêteurs sur le lieu de l’agression (P. 38) ainsi que par les répercussions notamment psychiques de l’attaque qui ont contraint la victime à se faire soigner (P. 58). Enfin, l’agression a causé un traumatisme psychique durable puisqu’aux débats R.________ a exprimé l’angoisse et la peur que lui inspire encore son agresseur. Comme les premiers juges, la Cour de céans n’a aucune hésitation à retenir la version de R.________, soit que le prévenu, dans une intention sexuelle, a passé outre un refus clairement manifesté par cette femme en l’empoignant et en l’entraînant de force du trottoir jusqu’à l’intérieur du parc, en la projetant à terre, en lui dévêtant le bas du corps alors qu’elle avait perdu connaissance, en dénudant son propre sexe, en la pénétrant analement et en éjaculant à son contact. L’usage de la force est ainsi avéré. Au vu des traces de sperme retrouvées dans l’anus et sur la culotte de la plaignante, l’acte d’ordre sexuel est établi. Selon le procès-verbal des opérations du 11 juin 2013, le frottis anal a été réalisé par l’introduction d’un Q-tipps dans l’anus sur une longueur de 1 cm à 1.5 cm  (PV des opérations du 11 juin 2013, p. 8 en haut). Il ressort du dossier que la plaignante a subi plusieurs lésions aux jambes (P. 15/2, P. 15/3). Ces faits, plus particulièrement la présence de sperme à l’intérieur de cette cavité du corps, démontrent la réalité d’une pénétration. Concernant les faits, l’appel est mal fondé.</w:t>
      </w:r>
    </w:p>
    <w:p>
      <w:r>
        <w:rPr>
          <w:b/>
        </w:rPr>
        <w:t>E. 6</w:t>
      </w:r>
    </w:p>
    <w:p>
      <w:r>
        <w:t>a) L’appelant conteste la qualification juridique des faits retenus à son encontre. Il soutient que les premiers juges auraient dû retenir la contrainte sexuelle et non, en concours, la contrainte, les actes d’ordre sexuels commis sur une personne incapable de discernement ou de résistance et les lésions corporelles simples. b)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En matière de contrainte sexuelle, l'art. 189 al. 1 CP réprime le comportement de celui qui, notamment en usant de menace ou de violence envers une personne, en exerçant sur elle des pressions d’ordre psychique ou en la mettant hors d’état de résister l’a contrainte à subir un acte analogue à l’acte sexuel ou un autre acte d’ordre sexuel (Dupuis et al., Petit commentaire, Code pénal, Bâle 2012, n. 1 ad art. 189 CP et les références citées). Cet article énumère de façon non exhaustive plusieurs moyens de contrainte (ATF 128 IV 97 c. 2b/aa = JdT 2004 IV 123. La volonté du législateur est de saisir tous les moyens de contrainte présentant une certaine intensité. L’art. 189 al. 1 CP ne fait que mentionner divers exemples de moyens employés pour contraindre la victime et l’amener à céder, soit notamment la violence, c’est-à-dire l’emploi délibéré de la force physique sur la victime (Favre/Pellet/Stoudmann, Code pénal annoté, 3 ème éd. 2007, n. 1.3 ad art. 189 CP). Pour déterminer si l’on se trouve en présence de contrainte sexuelle, il faut procéder à une appréciation globale des circonstances concrètes (Dupuis et al., op. cit., n. 12 ad art. 189 CP). S’agissant de l’art. 191 CP, cette disposition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(Dupuis et al., Petit commentaire du Code pénal, Bâle 2012, n. 2 ad art. 191 CP et les références citées). Est incapable de résistance la personne qui n’est pas apte à s’opposer à des contacts sexuels non désirés. L’incapacité de résistance peut être la conséquence d’une sévère intoxication due à l’alcool ou à la drogue. Cette incapacité doit être totale. Si l’inaptitude n’est que partielle, par exemple en raison d’un simple état d’ivresse, et non d’une intoxication grave, la victime n’est pas incapable de résistance (Dupuis et al., op. cit., n. 10 ad art. 191 CP et les références citées). L’accomplissement de ce crime sexuel nécessite que l’auteur mette à profit une incapacité préexistante. L’auteur ne doit pas avoir provoqué l’incapacité de la victime ou avoir participé à celle-ci (Dupuis et al., op. cit., n. 12 ad art. 191 CP). c) En l’espèce, l’appelant s’en est pris physiquement à R.________ pour l’entraîner à l’écart, briser sa résistance et lui imposer un acte d’ordre sexuel. Au cours de cette attaque, il l’a faite chuter sur sol au point qu’elle a perdu connaissance, tombant ainsi à la merci de son agresseur. Durant cette perte de conscience, C.________ a pu lui dénuder le bassin et éjaculer en elle. C’est par conséquent à tort que les premiers juges ont fractionné ces faits, qui ont constitué une unité d’action à fin d’assouvissement sexuel par la force. Il s’agit manifestement d’une contrainte sexuelle, infraction qui comprend déjà la contrainte et qui absorbe les lésions corporelles (Favre/Pellet/Stoudmann, Code pénal annoté, 3 ème éd. 2007, n. 1.7 ad art. 123 CP; Dupuis et al., op. cit., n. 43 ad art. 181 CP). Il résulte de ce qui précède qu’il faut condamner l’appelant pour contrainte sexuelle, celle-ci étant pleinement réalisée. Il faut en revanche le libérer des infractions de contrainte, d’acte d’ordre sexuels commis sur une personne incapable de discernement ou de résistance et de lésions corporelles simples.</w:t>
      </w:r>
    </w:p>
    <w:p>
      <w:r>
        <w:rPr>
          <w:b/>
        </w:rPr>
        <w:t>E. 7</w:t>
      </w:r>
    </w:p>
    <w:p>
      <w:r>
        <w:t>a) L’appelant conteste également la quotité de la peine qui lui a été infligée, soit 4 ans et demi, en faisant valoir que sa culpabilité aurait été trop sévèrement appréciée.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c) La culpabilité de C.________ est particulièrement lourde. Il répond d’une prédation sexuelle extrêmement brutale et traumatisante. La nuit, profitant des rues désertes, il a sauvagement attaqué une femme inconnue. L’alcool absorbé n’est pas un élément à décharge et aucune incitation ou encouragement ne peut être attribué à la victime. Le comportement de C.________ en procédure n’est pas très reluisant. Il dit regretter, mais n’admet pas l’acte sexuel, pourtant établi; il s’agit donc de regrets de façade, non investis. A cela s’ajoute que l’appelant n’a pas éprouvé de véritable prise de conscience et la reconnaissance de dette qu’il a souscrite l’a été avec la perspective qu’elle ne serait pas honorée. La Cour constate que le prévenu n’est préoccupé que par son propre sort. De plus, il présente des antécédents judiciaires pénaux défavorables, notamment celui de lésions corporelles simples. Il répond enfin d’un concours d’infractions. A décharge, la Cour retiendra le jeune âge de l’appelant au moment des faits. Si les termes du jugement de première instance à l’égard du prévenu sont colorés, ils ne résultent toutefois pas d’une fausse appréciation de sa personnalité et de ses actes. Pour tenir compte du fait que les infractions de contrainte et de lésions corporelles tombent, entraînant ainsi la réduction partielle de l’aggravante du concours, il convient de réduire légèrement la peine. Celle-ci sera fixée à 4 ans.</w:t>
      </w:r>
    </w:p>
    <w:p>
      <w:r>
        <w:rPr>
          <w:b/>
        </w:rPr>
        <w:t>E. 8</w:t>
      </w:r>
    </w:p>
    <w:p>
      <w:r>
        <w:t>En définitive, l’appel de C.________ doit être partiellement admis. Me Charpié a produit une liste détaillée de ses opérations d’appel faisant notamment état de quatre visites en prison ainsi que de 6h30 d’étude du dossier. Au vu de la complexité toute relative de la cause, plus particulièrement au stade de l’appel qui implique la reprise de questions déjà analysées, toutes ces opérations ne paraissent pas justifiées, ce d’autant plus que Me Charpié a été le défenseur de C.________ depuis le début de la procédure. Pour tenir compte de ce qui précède, la Cour de céans arrêtera à 2'160 fr l’indemnité allouée à Me Pierre Charpié, plus la TVA, par 172 fr. 80, soit au total 2'332 fr. 80. Au vu de la nature de la cause et de la liste des opérations produites, une indemnité de conseil d’office pour la procédure d’appel d’un montant de 858 fr. 90, plus la TVA, par 68 fr. 70, soit au total 927 fr. 60 sera allouée à Me Marie-Pomme Moinat.</w:t>
      </w:r>
    </w:p>
    <w:p>
      <w:r>
        <w:rPr>
          <w:b/>
        </w:rPr>
        <w:t>E. 9</w:t>
      </w:r>
    </w:p>
    <w:p>
      <w:r>
        <w:t>Vu l'issue de la cause, les frais de la procédure d’appel, par 2’240 fr. (art. 21 al. 1 et 2 TFJP [Tarif des frais judiciaires pénaux du 28 septembre 2010, RSV 312.03.1]), ainsi que l’indemnité allouée à son défenseur d’office Me Pierre Charpié, par 2'332 fr. 80 et l’indemnité allouée à Me Marie-Pomme Moinat, par 927 fr. 60, soit au total 5’500 fr. 40, sont mis par quatre cinquième, soit 4'400 fr. 30, à la charge de C.________, le solde, par 1'100 fr. 10 étant laissé à la charge de l’Etat. C.________ ne sera tenu de rembourser à l'Etat les quatre cinquièmes du montant des indemnités en faveur des conseils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