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159 vom 24. Januar 2014</w:t>
      </w:r>
    </w:p>
    <w:p>
      <w:r>
        <w:t>VD Tribunal cantonal, 2014-01-24, FR</w:t>
      </w:r>
    </w:p>
    <w:p>
      <w:r>
        <w:rPr>
          <w:b/>
        </w:rPr>
        <w:t xml:space="preserve">Quelle: </w:t>
      </w:r>
      <w:r>
        <w:t>https://mcp.opencaselaw.ch/entscheid/vd_findinfo_Jug___2014___159</w:t>
      </w:r>
    </w:p>
    <w:p>
      <w:r>
        <w:t>FR: VD_FINDINFO Jug / 2014 / 159 du 24 janvier 2014</w:t>
      </w:r>
    </w:p>
    <w:p>
      <w:r>
        <w:t>IT: VD_FINDINFO Jug / 2014 / 159 del 24 gennaio 2014</w:t>
      </w:r>
    </w:p>
    <w:p>
      <w:pPr>
        <w:pStyle w:val="Heading2"/>
      </w:pPr>
      <w:r>
        <w:t>Regeste</w:t>
      </w:r>
    </w:p>
    <w:p>
      <w:r>
        <w:t>FIXATION DE LA PEINE, COMMERCE DE STUPÉFIANTS | 10 al. 1 CPP (CH), 10 al. 2 CPP (CH), 10 CPP (CH), 11 CPP (CH)</w:t>
      </w:r>
    </w:p>
    <w:p>
      <w:pPr>
        <w:pStyle w:val="Heading2"/>
      </w:pPr>
      <w:r>
        <w:t>Erwägungen</w:t>
      </w:r>
    </w:p>
    <w:p>
      <w:r>
        <w:rPr>
          <w:b/>
        </w:rPr>
        <w:t>E. 1</w:t>
      </w:r>
    </w:p>
    <w:p>
      <w:r>
        <w:t>Interjeté dans les formes et délai légaux (cf. art. 399 CPP) contre le jugement du tribunal de première instance qui a clos la procédure (art. 398 al. 1 CPP), l’appel de C.________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Le recourant conteste sa condamnation pour infraction grave à la Loi fédérale sur les stupéfiants. Il fait valoir que les mises en cause des toxicomanes ne sont pas crédibles, les premiers juges ayant retenu des quantités de drogue trop importantes, en particulier concernant de prétendues transactions antérieures au 25 octobre 2011. lI invoque la violation des principes in dubio pro reo et ne bis in idem .</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Aux termes de l’art. 11 al. 1 CPP, aucune personne condamnée ou acquittée en Suisse par un jugement entré en force ne peut être poursuivie une nouvelle fois pour la même infraction. Cette disposition pose le principe de l’autorité de la chose jugée ( ne bis in idem ), lequel relève du droit fédéral et doit être appliqué d’office. Ce principe signifie que nul ne peut être puni ou poursuivi pénalement deux fois en raison de la même infraction ou pour les mêmes faits ou actes délictueux. Par ailleurs, les fait qui ont fait l’objet d’un jugement entré en force ne peuvent plus être examinés dans une procédure pénale dirigée contre la même personne (ATF 116 IV 262, JdT 1993 IV 12; ATF 118 IV 371 c. 5c, JdT 1994 IV 191).</w:t>
      </w:r>
    </w:p>
    <w:p>
      <w:r>
        <w:rPr>
          <w:b/>
        </w:rPr>
        <w:t>E. 3.2</w:t>
      </w:r>
    </w:p>
    <w:p>
      <w:r>
        <w:t>En l’espèce, on ne discerne dans le jugement entrepris aucune violation de la présomption d’innocence. Les premiers juges n’ont pas ignoré que l’appelant avait été détenu du 31 janvier au 31 décembre 2009 et ne lui ont imputé aucune vente de drogue durant cette période. Ils ont toutefois constaté que les mises en cause des toxicomanes, particulièrement nombreuses, demeuraient cohérentes et crédibles s’agissant de personnes s’étant régulièrement fournies en cocaïne chez le prévenu. Pour déduire les transactions qui auraient pu concerner la période de détention en 2009, les premiers juges ont effectué un calcul en prenant en considération les périodes précises de chaque mise en cause et en excluant l’année 2009, totalisant ainsi une quantité de cocaïne inférieure de 11,4 % au total retenu dans l’acte d’accusation (cf. jgt., p. 17 et 18). Cette manière de procéder constitue une appréciation des preuves adéquate qui doit être confirmée par la cour de céans. Par ailleurs, il n’y a aucune violation de la présomption d’innocence dans le fait de retenir des transactions antérieures à mars 2011 (et non octobre 2011, cf. jgt., p. 4), date à laquelle l’appelant prétend être revenu du Portugal. En effet, les mises en cause sont si nombreuses pour des transactions effectuées en 2010 et 2011, au contraire de celles effectuées en 2009, que les premiers juges pouvaient raisonnablement écarter la version de l’appelant au bénéfice des nombreux témoignages de toxicomanes. En outre, l’explication du prévenu qui prétend être victime d’un complot (jgt., p. 4) ne peut être suivie et doit être écartée. Enfin, avec l’appelant, il convient de retenir que les achats de cocaïne effectués par [...] en 2008, soit 20 boulettes (PV aud. 14, p. 2), peuvent, au bénéfice du doute, correspondre à des actes déjà sanctionnés par l’arrêt de la Cour de cassation pénale du 1 er juillet 2009, dans la mesure où l’état de fait de cette décision retient indistinctement la vente de boulettes de cocaïne dans la région lausannoise de fin avril à fin décembre 2008. Toutefois, la déduction de 20 boulettes pour la période considérée (jgt., p. 17) n’est pas de nature à modifier la culpabilité de l’appelant sanctionné en première instance pour la vente totale de cocaïne de 1'114 boulettes de cocaïne et en définitive pour la vente de 1’094 boulettes.</w:t>
      </w:r>
    </w:p>
    <w:p>
      <w:r>
        <w:rPr>
          <w:b/>
        </w:rPr>
        <w:t>E. 4</w:t>
      </w:r>
    </w:p>
    <w:p>
      <w:r>
        <w:t>L’appelant conteste ensuite la quotité de la peine. Il soutient que les premiers juges n’auraient pas fondé la sanction sur les critères retenus usuellement en matière de trafic de stupéfiants, soit la quantité de drogue, le taux de pureté, l’organisation, l’étendue du trafic, etc. Par ailleurs, sa collaboration à l’enquête n’aurait pas été prise en compte à sa juste valeur pour la mise en cause d’un grossiste.</w:t>
      </w:r>
    </w:p>
    <w:p>
      <w:r>
        <w:rPr>
          <w:b/>
        </w:rPr>
        <w:t>E. 4.1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6B_567/2012 du 18 décembre 2012 c. 3.2 et les références citées).</w:t>
      </w:r>
    </w:p>
    <w:p>
      <w:r>
        <w:rPr>
          <w:b/>
        </w:rPr>
        <w:t>E. 4.2</w:t>
      </w:r>
    </w:p>
    <w:p>
      <w:r>
        <w:t>En l’espèce, contrairement à ce que prétend l’appelant, sa culpabilité a été appréciée correctement par les premiers juges (jgt., p. 21). Il s’agit de sa troisième condamnation pour trafic de drogue, ce qui dénote une insensibilité inquiétante à la peine. Certes, le trafic est local et le taux de pureté de la cocaïne bas. Toutefois, la quantité de drogue vendue est importante et l’activité criminelle intense, montrant une bonne organisation logistique ayant permis de fidéliser la clientèle. Quoi qu’en dise l’appelant, sa collaboration avec les enquêteurs a été mauvaise, puisqu’il a nié l’essentiel des faits reprochés et a évoqué un complot pour expliquer les mises en cause de toxicomanes. Quant aux dépositions faites au sujet de l’un de ses fournisseurs (PV aud. 22), elles n’ont consisté qu’à se déterminer sur des informations que les enquêteurs possédaient déjà, ceux-ci ayant identifié ce fournisseur. De plus, les quantités soi-disant achetées sont inférieures à la réalité, au vu des faits retenus en définitive. Sur la base de ces éléments, la culpabilité de C.________ doit être qualifiée de lourde. La peine privative de liberté de 38 mois infligée par les premiers juges est dès lors adéquate et doit être confirmée. Au surplus, compte tenu de la quotité de la peine prononcée, le sursis partiel est exclu.</w:t>
      </w:r>
    </w:p>
    <w:p>
      <w:r>
        <w:rPr>
          <w:b/>
        </w:rPr>
        <w:t>E. 5</w:t>
      </w:r>
    </w:p>
    <w:p>
      <w:r>
        <w:t>En définitive, l'appel de C.________ doit être rejeté et le jugement attaqué intégralement confirmé. Vu l'issue de la cause, les frais d'appel, constitués de l’émolument d’arrêt, par 1’910 fr., et de l’indemnité allouée au défenseur d’office de l’appelant, par 1’323 fr., TVA et débours compris, doivent être mis à la charge C.________. Le prévenu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