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155 vom 15. Januar 2014</w:t>
      </w:r>
    </w:p>
    <w:p>
      <w:r>
        <w:t>VD Tribunal cantonal, 2014-01-15, FR</w:t>
      </w:r>
    </w:p>
    <w:p>
      <w:r>
        <w:rPr>
          <w:b/>
        </w:rPr>
        <w:t xml:space="preserve">Quelle: </w:t>
      </w:r>
      <w:r>
        <w:t>https://mcp.opencaselaw.ch/entscheid/vd_findinfo_Jug___2014___155</w:t>
      </w:r>
    </w:p>
    <w:p>
      <w:r>
        <w:t>FR: VD_FINDINFO Jug / 2014 / 155 du 15 janvier 2014</w:t>
      </w:r>
    </w:p>
    <w:p>
      <w:r>
        <w:t>IT: VD_FINDINFO Jug / 2014 / 155 del 15 gennaio 2014</w:t>
      </w:r>
    </w:p>
    <w:p>
      <w:pPr>
        <w:pStyle w:val="Heading2"/>
      </w:pPr>
      <w:r>
        <w:t>Regeste</w:t>
      </w:r>
    </w:p>
    <w:p>
      <w:r>
        <w:t>CIRCULATION ROUTIÈRE{DROIT DE LA CIRCULATION ROUTIÈRE}, FIXATION DE LA PEINE, SURSIS PARTIEL À L'EXÉCUTION DE LA PEINE | 42 CP, 47 CP, 90 LCR</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de M.________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conteste avoir commis une violation des règles fondamentales de la circulation au sens de l’art. 90 al. 3 et 4 LCR. En substance, il reproche aux premiers juges de ne pas avoir instruit les circonstances réelles de l’infraction et de ne pas avoir examiné si un danger imminent et intense avait été créé et s’il y avait eu une mise en danger concrète qualifiée.</w:t>
      </w:r>
    </w:p>
    <w:p>
      <w:r>
        <w:rPr>
          <w:b/>
        </w:rPr>
        <w:t>E. 3.1</w:t>
      </w:r>
    </w:p>
    <w:p>
      <w:r>
        <w:t>Aux termes de l’art.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libellé d’un à quatre ans (al. 3). L’al. 3 est toujours applicable lorsque la vitesse maximale autorisée a été dépassée: a. d’au moins 40 km/h, là où la limite était fixée à 30 km/h; b. d’au moins 50 km/h, là où la limite était fixée à 50 km/h; c. d’au moins 60 km/h, là où la limite était fixée à 80 km/h; d. d’au moins 80 km/h, là où la limite était fixée à plus de 80 km/h (al. 4). Selon le message du Conseil fédéral, les excès de vitesse particulièrement importants doivent être systématiquement considérés comme une infraction pénale qualifiée afin que la définition d’un chauffard et la peine à prononcer en conséquence ne soient pas laissées à la seule appréciation des juges (Message du Conseil fédéral, FF 2012 p. 5066). Ainsi, la loi prévoit désormais une présomption légale irréfragable selon laquelle l’al. 3 est toujours réalisé lorsque les seuils fixés sont atteints, partant du principe qu’un tel dépassement ne peut être commis qu’intentionnellement (Mizel, Le délit de chauffard et sa répression pénale et administrative, PJA 2/2013, p. 195; contra Délèze/Dutoit, Le délit de chauffard au sens de l’art. 90 al. 3 LCR, PJA 8/2913 p. 1213). lI s’ensuit qu’il est aussi possible d’admettre un délit de chauffard pour des dépassements inférieurs à ceux de l’art. 90 al. 4 LCR (Mizel, op. cit., p. 196).</w:t>
      </w:r>
    </w:p>
    <w:p>
      <w:r>
        <w:rPr>
          <w:b/>
        </w:rPr>
        <w:t>E. 3.2</w:t>
      </w:r>
    </w:p>
    <w:p>
      <w:r>
        <w:t>En l'espèce, au regard des faits décrits ci-dessus, qui ne sont aucunement contestés, il est manifeste que l’appelant a violé l’art. 90 ch. 3 et 4 LCR, la vitesse maximale de 80 km/h ayant été dépassée de 89 km/h, ce qui selon la disposition précitée, entrée en vigueur au 1 er janvier 2013, constitue une violation des règles fondamentales de la circulation, sans qu’il y ait lieu d’instruire davantage les circonstances exactes de l’infraction et la question de la mise en danger. Partant, les mesures d’instruction sollicitées par l'appelant sont inutiles et doivent être rejetées.</w:t>
      </w:r>
    </w:p>
    <w:p>
      <w:r>
        <w:rPr>
          <w:b/>
        </w:rPr>
        <w:t>E. 4</w:t>
      </w:r>
    </w:p>
    <w:p>
      <w:r>
        <w:t>L'appelant conteste la peine qui lui a été infligée.</w:t>
      </w:r>
    </w:p>
    <w:p>
      <w:r>
        <w:rPr>
          <w:b/>
        </w:rPr>
        <w:t>E. 4.1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4.2</w:t>
      </w:r>
    </w:p>
    <w:p>
      <w:r>
        <w:t>Le cadre légal de la peine pour l’infraction visée à l’art. 90 al. 3 LCR est de un à quatre ans. M.________ s'est rendu coupable de violation intentionnelle des règles fondamentales de la circulation. Sa culpabilité est importante. A l'instar des premiers juges, on retiendra l'ampleur de l'excès de vitesse, le caractère objectivement dangereux d'un tel comportement sur une route de montagne et les nombreux antécédents pénaux et administratifs du prévenu. A décharge, on prendra en compte les regrets exprimés par ce dernier. Au regard de la faute commise et des éléments à prendre en considération, le minimum légal d’une année comme requis par l’intéressé ne se justifie aucunement et la sanction prononcée de dix-huit mois doit être confirmée.</w:t>
      </w:r>
    </w:p>
    <w:p>
      <w:r>
        <w:rPr>
          <w:b/>
        </w:rPr>
        <w:t>E. 5</w:t>
      </w:r>
    </w:p>
    <w:p>
      <w:r>
        <w:t>L’appelant conteste le sursis partiel qui lui a été octroyé et requiert le sursis complet.</w:t>
      </w:r>
    </w:p>
    <w:p>
      <w:r>
        <w:rPr>
          <w:b/>
        </w:rPr>
        <w:t>E. 5.1</w:t>
      </w:r>
    </w:p>
    <w:p>
      <w:r>
        <w:t>Lorsque la durée de la peine privative de liberté se situe, comme en l’espèce, entre un et deux années,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 134 IV 1 c. 5.3.1).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sa motivation doit permettre de vérifier s’il a été tenu compte de tous les éléments pertinents et comment ils ont été appréciés (cf. ATF 134 IV 1 c. 4.2.1). Le juge dispose d’un large pouvoir d’appréciation en la matière (ATF 134 IV 1 c. 5.2).</w:t>
      </w:r>
    </w:p>
    <w:p>
      <w:r>
        <w:rPr>
          <w:b/>
        </w:rPr>
        <w:t>E. 5.2</w:t>
      </w:r>
    </w:p>
    <w:p>
      <w:r>
        <w:t>L’appelant, né en 1986, a déjà huit condamnations inscrites à son casier judiciaire dont certaines pour infractions à la LCR. Le fichier des mesures administratives mentionne huit interdictions de conduire ou retraits de permis entre le 12 février 2002 et le 26 octobre 2009, ainsi qu’un avertissement le 2 mars 2004. Au regard de ces antécédents, le risque de récidive est très sérieux, malgré le retrait de permis, dès lors que le prévenu a été condamné pour conduite malgré un retrait de permis. Les premiers juges ont considéré qu’il existait un léger espoir que l’appelant s’amende au vu des regrets exprimés et du retrait de sécurité de son permis pendant cinq ans. Ils lui ont par conséquent accordé un sursis partiel. Cette appréciation est déjà en soi très clémente et favorable à l’intéressé; en effet, les excuses exprimées ainsi que le retrait de permis ne pèsent pas lourd en comparaison des antécédents de l'appelant et ne permettent en aucun cas de conclure à un pronostic favorable.</w:t>
      </w:r>
    </w:p>
    <w:p>
      <w:r>
        <w:rPr>
          <w:b/>
        </w:rPr>
        <w:t>E. 6</w:t>
      </w:r>
    </w:p>
    <w:p>
      <w:r>
        <w:t>En définitive, l’appel de M.________ est rejeté et le jugement rendu le 15 janvier 2014 par le Tribunal correctionnel de l'arrondissement de La Broye et du Nord vaudois est confirmé. Vu l'issue de la cause, les frais d'appel doivent être mis à la charge de M.________ (art. 428 al. 1 CPP). Outre l'émolument, qui se monte à 1’390 fr. (art. 21 al. 1 et 2 TFJP [Tarif des frais judiciaires pénaux du 28 septembre 2010; RSV 312.03.1]), ces frais comprennent l’indemnité allouée à son défenseur d’office. Au vu de la complexité de la cause, des opérations mentionnées dans la note d'honoraires et de la procédure d'appel, il convient d'allouer au défenseur d’office de l’appelant une indemnité arrêtée à 2’127 fr. 60, TVA et débours inclus. M.________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