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153 vom 17. Dezember 2013</w:t>
      </w:r>
    </w:p>
    <w:p>
      <w:r>
        <w:t>VD Tribunal cantonal, 2013-12-17, FR</w:t>
      </w:r>
    </w:p>
    <w:p>
      <w:r>
        <w:rPr>
          <w:b/>
        </w:rPr>
        <w:t xml:space="preserve">Quelle: </w:t>
      </w:r>
      <w:r>
        <w:t>https://mcp.opencaselaw.ch/entscheid/vd_findinfo_Jug___2014___153</w:t>
      </w:r>
    </w:p>
    <w:p>
      <w:r>
        <w:t>FR: VD_FINDINFO Jug / 2014 / 153 du 17 décembre 2013</w:t>
      </w:r>
    </w:p>
    <w:p>
      <w:r>
        <w:t>IT: VD_FINDINFO Jug / 2014 / 153 del 17 dicembre 2013</w:t>
      </w:r>
    </w:p>
    <w:p>
      <w:pPr>
        <w:pStyle w:val="Heading2"/>
      </w:pPr>
      <w:r>
        <w:t>Regeste</w:t>
      </w:r>
    </w:p>
    <w:p>
      <w:r>
        <w:t>ABUS DE CONFIANCE, CONSTATATION DES FAITS, PRÉSOMPTION D'INNOCENCE, FIXATION DE LA PEINE, PEINE PÉCUNIAIRE | 138 ch. 1 CP, 41 al. 1 CP, 47 al. 1 CP</w:t>
      </w:r>
    </w:p>
    <w:p>
      <w:pPr>
        <w:pStyle w:val="Heading2"/>
      </w:pPr>
      <w:r>
        <w:t>Erwägungen</w:t>
      </w:r>
    </w:p>
    <w:p>
      <w:r>
        <w:rPr>
          <w:b/>
        </w:rPr>
        <w:t>E. 1</w:t>
      </w:r>
    </w:p>
    <w:p>
      <w:r>
        <w:t>Interjeté dans les formes et délais légaux (cf. art. 399 CPP)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Invoquant une violation du principe « in dubio pro reo », l’appelant reproche d’abord au premier juge d’avoir écarté ses dénégations pour préférer la version de la plaignante, sans que des éléments particuliers ne permettent, selon lui, d’accorder une valeur prépondérante aux déclarations de cette dernière.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w:t>
      </w:r>
    </w:p>
    <w:p>
      <w:r>
        <w:t>L’appelant se trompe en affirmant qu’il aurait été condamné en raison de l’argent qui lui aurait été confié par la plaignante. En effet, le premier juge a relevé que, pendant l’instruction, W.________ avait, à un moment donné, décidé d’endosser seul toute la responsabilité de la disparition de l’argent confié, qu’il devait répondre d’abus de confiance pour ces faits et qu’il devait en répondre seul, puisqu’il avait décidé de décharger son comparse de toute responsabilité à cet égard. Ainsi, l’appelant n’a finalement pas été condamné pour les faits qu’il conteste. En revanche, l’appelant a été condamné, pour abus de confiance, dès lors qu’il n’a pas restitué l’IPhone 4 en état de fonctionnement qui lui avait été confié, pour quelques jours, par la plaignante, propriétaire de l’objet en question. Ces faits peuvent être retenus en se fondant, d’une part, sur les premières déclarations de W.________, qui a confirmé que la plaignante lui avait touché deux mots au sujet de ce natel, mais qu’il n’y avait pas porté attention, dès lors que cela ne le concernait pas (cf. PV aud. 2, R. 7, p. 3), et, d’autre part, sur les déclarations de la plaignante (cf. PV aud. 1 et 5), qui sont constantes à ce sujet. En outre, cette dernière a été en mesure de donner des détails précis au sujet de ce téléphone, notamment quant au lieu d’achat (cf. PV aud. 5, du 8 août 2012, lignes 80-81, confirmé par la P. 32, produite le 27 novembre 2013). Ces éléments attestent de la crédibilité de ses allégations, qui n’ont jamais varié quant à l’essentiel des faits. Pour sa part, l’appelant a tenu des déclarations contradictoires et peu cohérentes (cf. en particulier PV aud. 4, lignes 75-76, 103-105 et 164). Enfin, le fait que l’appelant nie avoir jamais été en possession de cet objet (PV aud. 4, lignes 103-105) et les rétractations ultérieures de W.________ ne suffisent pas à mettre en doute la véracité de la version de la plaignante, ce d’autant que le co-prévenu n’a pas été condamné en relation avec l’appropriation indue de l’iPhone de la plaignante.</w:t>
      </w:r>
    </w:p>
    <w:p>
      <w:r>
        <w:rPr>
          <w:b/>
        </w:rPr>
        <w:t>E. 4</w:t>
      </w:r>
    </w:p>
    <w:p>
      <w:r>
        <w:t>L’appelant conteste ensuite la qualification d’abus de confiance. Il fait valoir que toute volonté d’appropriation fait défaut, dès lors qu’il n’a pas employé le montant confié par la plaignante et qu’il l’a d’ailleurs restitué.</w:t>
      </w:r>
    </w:p>
    <w:p>
      <w:r>
        <w:rPr>
          <w:b/>
        </w:rPr>
        <w:t>E. 4.1</w:t>
      </w:r>
    </w:p>
    <w:p>
      <w:r>
        <w:t>Aux termes de l’art. 138 ch. 1 al. 1 CP, celui qui, pour se procurer ou procurer à un tiers un enrichissement illégitime, se sera approprié une chose mobilière appartenant à autrui et qui lui avait été confiée, sera puni d’une peine privative de liberté de cinq ans au plus ou d’une peine pécuniaire. L'abus de confiance suppose qu'une chose mobilière appartenant à autrui ait été confiée à l'auteur. Il doit exister un rapport avec autrui (rapport de confiance) qui permet à l'auteur d'entrer en possession de la chose, mais qui détermine l'usage qu'il doit en faire. L'auteur, qui a reçu la chose pour en faire un certain usage dans l'intérêt d'autrui, s'approprie cependant cette chose, en violation de ce rapport de confiance, c'est-à-dire dispose de la chose comme si elle lui appartenait. Le rapport de confiance est une circonstance personnelle spéciale, de sorte que seul celui auquel la chose ou la valeur patrimoniale a été confiée peut être auteur ou coauteur d'un abus de confiance (ATF 98 IV 147 c. 4 p. 150).</w:t>
      </w:r>
    </w:p>
    <w:p>
      <w:r>
        <w:rPr>
          <w:b/>
        </w:rPr>
        <w:t>E. 4.2</w:t>
      </w:r>
    </w:p>
    <w:p>
      <w:r>
        <w:t>Pour les motifs déjà exposés, les critiques de l’appelant tombent à faux dans la mesure où elles concernent l’argent confié par la plaignante, ces faits n’ayant finalement pas été imputés à l’intéressé. Pour le reste, la plaignante a remis un iPhone à l’appelant, pour que celui-ci puisse l’utiliser quelques jours, plus précisément pour une durée censée être limitée à cinq jours, avant de devoir le lui restituer. Or, l’intéressé a refusé de lui rendre cet objet, dont on ignore au surplus le sort ultérieur. Ce faisant, il s’est approprié une chose qui lui avait été confiée, en violation du rapport de confiance existant entre lui-même et la plaignante, laquelle n’a jamais consenti à lui laisser le téléphone sans réserve, ce d’autant qu’elle présentait une faiblesse psychologique. Il est manifeste, et d’ailleurs établi par pièce (P, 32), que cette dernière a subi un préjudice de ce fait, dès lors qu’elle a dû payer l’objet en question sans quasiment en avoir eu la jouissance, avant qu’elle ne fasse bloquer le numéro. Dans la même mesure, il y a également eu un enrichissement illégitime de l’appelant, qui a gratuitement disposé de la chose confiée et de l’abonnement jusqu’à la suspension de celui-ci par la victime. A cet égard, le fait que cette dernière ait fait bloquer l’abonnement afférent à son téléphone n’implique nullement qu’elle ait acquiescé à son usage, par l’appelant, pour la période antérieure. Il s’agissait bien plutôt d’une mesure élémentaire, dictée par l’urgence de la situation, tendant à préserver ses intérêts pécuniaires d’une atteinte plus lourde encore. Au regard de ces éléments, la condamnation de l’appelant pour abus de confiance ne viole pas le droit fédéral.</w:t>
      </w:r>
    </w:p>
    <w:p>
      <w:r>
        <w:rPr>
          <w:b/>
        </w:rPr>
        <w:t>E. 5</w:t>
      </w:r>
    </w:p>
    <w:p>
      <w:r>
        <w:t>L’appelant conteste le genre ainsi que la quotité de la peine qui lui a été infligée.</w:t>
      </w:r>
    </w:p>
    <w:p>
      <w:r>
        <w:rPr>
          <w:b/>
        </w:rPr>
        <w:t>E. 5.1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pp. 100 ss; TF 6B_102/2012 du 22 juin 2012 c. 2.1).</w:t>
      </w:r>
    </w:p>
    <w:p>
      <w:r>
        <w:rPr>
          <w:b/>
        </w:rPr>
        <w:t>E. 5.2</w:t>
      </w:r>
    </w:p>
    <w:p>
      <w:r>
        <w:t>En l’occurrence, le premier juge a prononcé une courte peine privative de liberté avec sursis, ce que la loi ne permet pas (art. 41 al. 1 CP, a contrario). Une peine de travail d’intérêt général n’apparaît pas exécutable. En effet, le prévenu, qui se dit inapte au travail, est dans l’attente d’une décision de l’assurance-invalidité. S’agissant de la peine pécuniaire, la seule absence de revenus de l’auteur ne permet pas d’exclure ce genre de sanction; bien plutôt, l’impécuniosité de l’auteur ne doit avoir d’effet que sur le montant du jour-amende, dont la jurisprudence fixe le minimum à dix francs (ATF 135 IV 180 c. 1.4.2), étant précisé qu’un montant de cinq francs a été jugé modique au point de contrevenir au droit fédéral (ATF 135 IV 180 c. 1.4.3). C’est ainsi une peine pécuniaire qui doit être prononcée plutôt qu’une peine privative de liberté ou encore qu’une peine de travail d’intérêt général. Vu l’impécuniosité et le désoeuvrement de l’auteur, la quotité du jour-amende doit être fixée au montant minimum, soit dix francs. Il convient de fixer la quotité de la nouvelle peine. Il y a lieu, à cet égard, de renvoyer aux éléments retenus à charge et à décharge par le premier juge, auxquels il convient d’ajouter que la chose confiée, récemment acquise à titre onéreux par la victime, était d’une valeur significative et qu’elle n’a pas été restituée. Au regard de la culpabilité de l’appelant, il se justifie, conformément aux conclusions subsidiaires de l’appel, de prononcer une peine pécuniaire de 30 jours-amende, à dix francs le jour-amende. Le sursis à l’exécution de la peine accordé par le premier juge doit être confirmé compte tenu de l’interdiction de la reformatio in pejus. La condamnation étant confirmée dans son principe, il n’y a pas matière à revoir le sort des frais de première instance. Pour le reste, il n’y a pas davantage lieu d’allouer à l’appelant, représenté par un défenseur de choix, une indemnité selon l’art. 429 CPP. En effet, le plaideur n’a ni chiffré, ni justifié ses prétentions alors même qu’il y avait été enjoint par la direction de la procédure conformément à l’art. 429 al. 2 CPP.</w:t>
      </w:r>
    </w:p>
    <w:p>
      <w:r>
        <w:rPr>
          <w:b/>
        </w:rPr>
        <w:t>E. 6</w:t>
      </w:r>
    </w:p>
    <w:p>
      <w:r>
        <w:t>En définitive, l’appel doit être partiellement admis dans le sens des considérants. Vu la mesure dans laquelle l’appelant obtient gain de cause, les frais de la procédure d'appel seront mis par moitié à sa charge, le solde étant laissé à celle de l’Etat (art. 428 al. 1 CPP). Outre l'émolument, les frais d’appel comprennent l’indemnité allouée au conseil d’office de l’intimée, qui obtient gain de cause sur le principe, pour les opérations liées à la procédure d'appel (cf. les art. 135 al. 2 CPP, par renvoi de l’art. 138 al. 1 CPP; art. 422 al. 2 let. a CPP; art. 2 al. 2 ch. 1 TFJP). Vu l'ampleur et la complexité de la cause en appel, l'indemnité allouée au conseil d'office de l’intimée doit être fixée sur la base d'une durée d'activité de quatre heures d’avocat breveté, à 180 fr. l'heure, plus 170 fr. de débours requis, TVA en sus (art. 135 al. 1 CPP), soit à un total de 961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