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142 vom 20. Februar 2014</w:t>
      </w:r>
    </w:p>
    <w:p>
      <w:r>
        <w:t>VD Tribunal cantonal, 2014-02-20, FR</w:t>
      </w:r>
    </w:p>
    <w:p>
      <w:r>
        <w:rPr>
          <w:b/>
        </w:rPr>
        <w:t xml:space="preserve">Quelle: </w:t>
      </w:r>
      <w:r>
        <w:t>https://mcp.opencaselaw.ch/entscheid/vd_findinfo_Jug___2014___142</w:t>
      </w:r>
    </w:p>
    <w:p>
      <w:r>
        <w:t>FR: VD_FINDINFO Jug / 2014 / 142 du 20 février 2014</w:t>
      </w:r>
    </w:p>
    <w:p>
      <w:r>
        <w:t>IT: VD_FINDINFO Jug / 2014 / 142 del 20 febbraio 2014</w:t>
      </w:r>
    </w:p>
    <w:p>
      <w:pPr>
        <w:pStyle w:val="Heading2"/>
      </w:pPr>
      <w:r>
        <w:t>Regeste</w:t>
      </w:r>
    </w:p>
    <w:p>
      <w:r>
        <w:t>VIOLATION DES RÈGLES DE LA CIRCULATION, AMENDE | 106 CP, 90 ch. 1 LCR, 398 al. 4 CPP (CH)</w:t>
      </w:r>
    </w:p>
    <w:p>
      <w:pPr>
        <w:pStyle w:val="Heading2"/>
      </w:pPr>
      <w:r>
        <w:t>Erwägungen</w:t>
      </w:r>
    </w:p>
    <w:p>
      <w:r>
        <w:rPr>
          <w:b/>
        </w:rPr>
        <w:t>E. 1.1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formes et délais légaux par une partie ayant qualité pour recourir contre le jugement du tribunal de première instance qui a clos la procédure (art. 398 al. 1 CPP), l’appel de X.________ est recevable.</w:t>
      </w:r>
    </w:p>
    <w:p>
      <w:r>
        <w:rPr>
          <w:b/>
        </w:rPr>
        <w:t>E. 1.2</w:t>
      </w:r>
    </w:p>
    <w:p>
      <w:r>
        <w:t>S'agissant d'un appel dirigé contre une contravention, la procédure applicable est écrite (art. 406 al. 1 let. c CPP) et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nn. 22 et 23 ad art. 398 CPP). En l’espèce, seule une contravention à la législation sur la circulation routière a fait l’objet de l’accusation et du jugement de première instance, de sorte que l’appel est retreint.</w:t>
      </w:r>
    </w:p>
    <w:p>
      <w:r>
        <w:rPr>
          <w:b/>
        </w:rPr>
        <w:t>E. 2</w:t>
      </w:r>
    </w:p>
    <w:p>
      <w:r>
        <w:t>L'appelant conteste être le conducteur du véhicule incriminé au moment où celui-ci a été flashé. Il fait valoir que la photographie prise par le radar ne permet pas de le reconnaître et que les témoins se seraient mis d’accord pour le dénoncer. Toutefois, l'appelant se borne à exposer sa version des faits et ne dit pas en quoi l'appréciation des preuves effectuée par le premier juge serait arbitraire, contrairement à ce que prévoit l’art. 398 al. 4 CPP. De toute manière, le Tribunal de police s’est fondé sur un ensemble d’éléments probatoires, à savoir la première audition du prévenu du 9 juillet 2013 et les témoignages de ses collègues de travail ainsi que de son employeur sur l’utilisation du véhicule, pour asseoir sa conviction et écarter les dénégations de l’appelant. Le raisonnement convaincant du premier juge échappe ainsi à toute critique. L’amende infligée à l’appelant est en outre conforme à l’art. 106 CP.</w:t>
      </w:r>
    </w:p>
    <w:p>
      <w:r>
        <w:rPr>
          <w:b/>
        </w:rPr>
        <w:t>E. 3</w:t>
      </w:r>
    </w:p>
    <w:p>
      <w:r>
        <w:t>En définitive, l'appel de X.________ doit être rejeté et le jugement attaqué entièrement confirmé. Vu l'issue de la cause, les frais d'appel, par 450 fr. (art. 21 al. 1 et 2 TFJP [Tarif des frais judiciaires pénaux du 28 septembre 2010; RSV 312.03.1]), doivent être mis à la charge de X.________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