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121 vom 16. Dezember 2013</w:t>
      </w:r>
    </w:p>
    <w:p>
      <w:r>
        <w:t>VD Tribunal cantonal, 2013-12-16, FR</w:t>
      </w:r>
    </w:p>
    <w:p>
      <w:r>
        <w:rPr>
          <w:b/>
        </w:rPr>
        <w:t xml:space="preserve">Quelle: </w:t>
      </w:r>
      <w:r>
        <w:t>https://mcp.opencaselaw.ch/entscheid/vd_findinfo_Jug___2014___121</w:t>
      </w:r>
    </w:p>
    <w:p>
      <w:r>
        <w:t>FR: VD_FINDINFO Jug / 2014 / 121 du 16 décembre 2013</w:t>
      </w:r>
    </w:p>
    <w:p>
      <w:r>
        <w:t>IT: VD_FINDINFO Jug / 2014 / 121 del 16 dicembre 2013</w:t>
      </w:r>
    </w:p>
    <w:p>
      <w:pPr>
        <w:pStyle w:val="Heading2"/>
      </w:pPr>
      <w:r>
        <w:t>Regeste</w:t>
      </w:r>
    </w:p>
    <w:p>
      <w:r>
        <w:t>FIXATION DE LA PEINE, LOI FÉDÉRALE SUR LES STUPÉFIANTS ET LES SUBSTANCES PSYCHOTROPES, CAS GRAVE | 47 CP</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 S’agissant des pièces produites sous bordereau II par l’appelant, il faut relever qu’en application, au moins analogique, de l’art. 362 al. 4 CPP, les pièces 5 à 8 ne sont pas recevables. Pour le reste, les autres pièces figurent déjà au dossier et sont donc recevables.</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A juste titre, l’appelant ne conteste pas les faits matériels retenus à sa charge, s’agissant en particulier des quantités de cocaïne commandées, respectivement écoulées. Il ne critique pas davantage la qualification des infractions, notamment en matière de LStup. Cela étant, l’appelant formule, préalablement à tout moyen de fond, divers griefs quant à l’attitude imputée au Procureur en relation avec les opérations de la procédure simplifiée. En substance, il fait grief au magistrat d’avoir abusé de sa bonne foi en requérant une peine privative de liberté d’une quotité supérieure à celle qu’il avait évoquée en procédure simplifiée. Ces remarques préliminaires à l’appel sont sans portée ni effet dans la présente procédure. L’appelant semble en effet oublier que, passé la procédure simplifiée, le Parquet soutient l’accusation comme il l’entend, sans qu’aucune partie ne puisse se prévaloir des considérations émises lors de cette phase initiale de la procédure, comme cela ressort de l’art. 362 al. 4 CPP.</w:t>
      </w:r>
    </w:p>
    <w:p>
      <w:r>
        <w:rPr>
          <w:b/>
        </w:rPr>
        <w:t>E. 4.1</w:t>
      </w:r>
    </w:p>
    <w:p>
      <w:r>
        <w:t>Contestant l’appréciation de sa culpabilité par les premiers juges, l’appelant leur fait grief de ne pas avoir suffisamment pris en considération sa collaboration durant l’enquête, ses aveux, le fait qu’il a respecté le droit depuis sa libération, son prétendu défaut d’antécédents et les effets de la peine sur son avenir.</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la vulnérabilité face à la peine, de même que le comportement après l'acte et au cours de la procédure pénale (ATF 134 IV 17 c. 2.1 p. 19 s.; ATF 129 IV 6 c. 6.1).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l'art. 19 ch. 2 let. a LStup.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6B_265/2010 du 13 août 2010 c. 2.3; TF 6S.21/2002 du 17 avril 2002 c. 2c).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p. 204; ATF 118 IV 342 c. 2d p. 349).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 TF 6B_85/2013 du 4 mars 2013 c. 3.1). S'agissant en particulier du trafic de cocaïne, il y a cas grave au sens de l'art. 19 ch. 2 let. a LStup à partir de 18 grammes de drogue pure (ATF 109 IV 143, JT 1984 IV 84, dont les principes n'ont pas été affectés par le changement de jurisprudence consacré par l'ATF 117 IV 314).</w:t>
      </w:r>
    </w:p>
    <w:p>
      <w:r>
        <w:rPr>
          <w:b/>
        </w:rPr>
        <w:t>E. 4.3</w:t>
      </w:r>
    </w:p>
    <w:p>
      <w:r>
        <w:t>En l’espèce, le tribunal correctionnel a expressément tenu compte de la collaboration et des aveux du prévenu. Sur la base de l’ensemble du dossier, notamment au vu des déclarations de l’intéressé, on peut admettre que cette collaboration a été bonne et efficace (cf. notamment PV aud. 5, lignes 40-59 ; PV aud. 12, pp. 3 ss). Il faut toutefois ajouter, comme l’ont précisé les premiers juges, que le prévenu ne s’était expliqué que sur présentation des éléments à charge par les enquêteurs. C’est en outre à juste titre que le tribunal a mentionné l’antécédent de l’auteur. Il ne s’agit toutefois que d’un facteur marginal dans l’appréciation de la culpabilité, s’agissant d’infractions de nature différente de celles ici en cause. A cela s’ajoute qu’il ne s’agit pas d’une criminalité de survie, mais plutôt de confort, vu la stabilité de la situation économique et administrative du prévenu en avril 2011, lorsqu’il s’était lancé dans le trafic, ce malgré le fait qu’il ne travaillait alors pas. En effet, il était alors au bénéfice d’un permis B et ne risquait donc plus guère d’être détenu aux fins de refoulement comme cela avait été le cas durant près d’un an et demi, du 25 novembre 2008 au 27 avril 2010. Qui plus est, il exerçait de fréquentes missions de travail temporaire et, à défaut, bénéficiait des prestations de chômage. Seule son arrestation a mis fin à son activité criminelle. Si l’auteur a renoncé à une transaction, ce n’est pas par repentir, mais faute de connaître la qualité de la drogue qu’il envisageait d’acheter (PV aud. 19, R. 14 p. 5). C’est ainsi à juste titre que le tribunal correctionnel mentionne un dessein de lucre, l’auteur n’étant au demeurant pas consommateur de drogue. Les infractions sont en concours. Le trafic auquel s’est livré l’appelant a été d’une intensité particulière; il a porté sur de gros volumes et sur une drogue d’un taux de pureté élevé. Il existe donc un motif particulier de prévention spéciale en faveur d’une peine sévère. Au surplus, l’appelant fait plaider que le fait qu’il n’ait pas réitéré d’infraction pénale entre sa libération provisoire et sa détention pour des motifs de sûreté devrait constituer un élément à décharge dans l’appréciation de sa culpabilité. Un tel facteur ne saurait être retenu en faveur du prévenu à l’aune de l’art. 47 CP. Il n’en reste toutefois pas moins que le tribunal correctionnel n’a pas mentionné la durée des agissements criminels du prévenu au nombre des critères d’appréciation de la culpabilité. On ne saurait, à cet égard, considérer que le trafic se soit étendu durant une période particulièrement longue. Mais surtout, comme cela ressort de la déposition de son épouse recueillie par la cour de céans, il apparaît que le prévenu est un mari et un père au comportement adéquat dans la sphère familiale. Il semble en outre avoir maintenu ses liens familiaux durant sa détention pour des motifs de sûreté. Rapprochés de ses activités professionnelles et de sa collaboration à l’enquête, ces facteurs témoignent d’une relativement bonne intégration sociale. Il s’agit d’un élément supplémentaire à retenir à décharge, en plus de ceux mentionnés par le tribunal correctionnel. Ce facteur est de nature à diminuer la quotité de la peine dans une certaine mesure. Tout bien pesé, c’est une peine privative de liberté de 48 mois qui doit être prononcée. Certes, l'appelant conclut à titre subsidiaire au prononcé d'une peine d’une quotité de 36 mois. Une telle quotité ferait cependant fi d'importants facteurs à charge, à savoir en particulier l'importance de la quantité de drogue acquise, respectivement écoulée, le taux élevé de pureté de la cocaïne et la position élevée de l’auteur au sein du réseau international de trafiquants. Il s'agit d'autant d’éléments témoignant de son énergie criminelle. Ils s'ajoutent aux autres facteurs à charge déjà mentionnés. Le cumul de ces éléments dénote une culpabilité importante de nature à exclure une peine d'une quotité inférieure à 48 mois. La quotité de la peine prononcée exclut le sursis, même partiel (art. 43 al. 1 CP).</w:t>
      </w:r>
    </w:p>
    <w:p>
      <w:r>
        <w:rPr>
          <w:b/>
        </w:rPr>
        <w:t>E. 5</w:t>
      </w:r>
    </w:p>
    <w:p>
      <w:r>
        <w:t>Pour le reste, la révocation du sursis n’est pas contestée, pas plus que ne l’est la détention pour des motifs de sûreté. La détention provisoire déjà subie et la détention pour motifs de sûreté subie depuis le jugement de première instance doivent être déduites de la peine privative de liberté.</w:t>
      </w:r>
    </w:p>
    <w:p>
      <w:r>
        <w:rPr>
          <w:b/>
        </w:rPr>
        <w:t>E. 6</w:t>
      </w:r>
    </w:p>
    <w:p>
      <w:r>
        <w:t>L’appel doit ainsi être partiellement admis, pour ce qui est de ses conclusions subsidiaires, dans la mesure ci-dessus. L’appelant succombant cependant sur le principe de la déclaration de culpabilité, les frais de première instance doivent être entièrement laissés à sa charge.</w:t>
      </w:r>
    </w:p>
    <w:p>
      <w:r>
        <w:rPr>
          <w:b/>
        </w:rPr>
        <w:t>E. 7</w:t>
      </w:r>
    </w:p>
    <w:p>
      <w:r>
        <w:t>Vu la mesure limitée dans laquelle l’appelant obtient gain de cause, les frais de la procédure d'appel seront mis à hauteur des trois quarts à sa charge, le solde étant laissé à celle de l’Etat (art. 428 al. 1 CPP). Outre l'émolument, les frais d’appel comprennent l’indemnité allouée au défenseur d’office du prévenu, pour les opérations liées à la procédure d'appel (cf. les art. 135 al. 2 et 422 al. 2 let. a CPP; art. 2 al. 2 ch. 1 TFJP). Vu l'ampleur et la complexité de la cause en appel, l'indemnité allouée au défenseur d'office du prévenu doit être fixée sur la base d'une durée d'activité de 15 heures d’avocat breveté, à 180 fr. l'heure, plus trois unités de débours à 120 fr. au titre des frais de vacation et 50 fr. d’autres débours, TVA en sus (art. 135 al. 1 CPP), soit à un total de 3'358 fr. 80. Le prévenu ne sera tenu de rembourser à l’Etat les trois quarts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