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120 vom 26. November 2013</w:t>
      </w:r>
    </w:p>
    <w:p>
      <w:r>
        <w:t>VD Tribunal cantonal, 2013-11-26, FR</w:t>
      </w:r>
    </w:p>
    <w:p>
      <w:r>
        <w:rPr>
          <w:b/>
        </w:rPr>
        <w:t xml:space="preserve">Quelle: </w:t>
      </w:r>
      <w:r>
        <w:t>https://mcp.opencaselaw.ch/entscheid/vd_findinfo_Jug___2014___120</w:t>
      </w:r>
    </w:p>
    <w:p>
      <w:r>
        <w:t>FR: VD_FINDINFO Jug / 2014 / 120 du 26 novembre 2013</w:t>
      </w:r>
    </w:p>
    <w:p>
      <w:r>
        <w:t>IT: VD_FINDINFO Jug / 2014 / 120 del 26 novembre 2013</w:t>
      </w:r>
    </w:p>
    <w:p>
      <w:pPr>
        <w:pStyle w:val="Heading2"/>
      </w:pPr>
      <w:r>
        <w:t>Regeste</w:t>
      </w:r>
    </w:p>
    <w:p>
      <w:r>
        <w:t>APPRÉCIATION DES PREUVES, IN DUBIO PRO REO, TENTATIVE{EN GÉNÉRAL}, CONTRAINTE{DROIT PÉNAL}, FIXATION DE LA PEINE | 181 CP, 22 ad 181 CP, 47 CP, 10 CPP (CH)</w:t>
      </w:r>
    </w:p>
    <w:p>
      <w:pPr>
        <w:pStyle w:val="Heading2"/>
      </w:pPr>
      <w:r>
        <w:t>Erwägungen</w:t>
      </w:r>
    </w:p>
    <w:p>
      <w:r>
        <w:rPr>
          <w:b/>
        </w:rPr>
        <w:t>E. 1</w:t>
      </w:r>
    </w:p>
    <w:p>
      <w:r>
        <w:t>Interjeté dans les formes et délai légaux par une partie ayant la qualité pour recourir contre le jugement d’un tribunal de première instance qui a clos la procédure (art. 398 al. 1 CPP), l’appel de B.________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w:t>
      </w:r>
    </w:p>
    <w:p>
      <w:r>
        <w:rPr>
          <w:b/>
        </w:rPr>
        <w:t>E. 3</w:t>
      </w:r>
    </w:p>
    <w:p>
      <w:r>
        <w:t>Par une série de griefs mélangeant des contestations de faits et des moyens de droit, l’appelant conteste tout d’abord sa condamnation pour tentative de contrainte, infraction à la LArm et violation de domicile. Il convient dès lors d’examiner les faits fondant cette condamnation (cf. c. 3.1 infra), puis la réalisation des infractions contestées (cf. c. 3.2 et 3.3 infra).</w:t>
      </w:r>
    </w:p>
    <w:p>
      <w:r>
        <w:rPr>
          <w:b/>
        </w:rPr>
        <w:t>E. 3.1</w:t>
      </w:r>
    </w:p>
    <w:p>
      <w:r>
        <w:t>L’appelant conteste avoir fait usage de la force pour récupérer son dû et affirme qu’il subsiste un doute « immense » s’agissant des faits retenus par le premier juge, compte tenu des dernières déclarations de G.________. Il ne serait en conséquence pas établi qu’il aurait été porteur d’une arme lors des faits litigieux et qu’il aurait pénétré sans droit au domicile de K.________.</w:t>
      </w:r>
    </w:p>
    <w:p>
      <w:r>
        <w:rPr>
          <w:b/>
        </w:rPr>
        <w:t>E. 3.1.1</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Dans cette mesure, la présomption d'innocence se confond avec l'interdiction générale de l'arbitraire, prohibant une appréciation reposant sur des preuves inadéquates ou sans pertinence (TF 6B_216/2010 du 11 mai 2010 c. 1.1.1 et 1.1.2 et la jurisprudence citée).</w:t>
      </w:r>
    </w:p>
    <w:p>
      <w:r>
        <w:rPr>
          <w:b/>
        </w:rPr>
        <w:t>E. 3.1.2</w:t>
      </w:r>
    </w:p>
    <w:p>
      <w:r>
        <w:t>En l’espèce, le tribunal de première instance a apprécié correctement les preuves et n’a pas violé la présomption d’innocence, en retenant les faits litigieux, tels qu’exposés dans l’acte d’accusation. Il n’a pas ignoré les dénégations du prévenu et s’est fondé sur plusieurs éléments probatoires pour écarter la version minimaliste de ce dernier. Il s’est ainsi déclaré convaincu par la version exposée par G.________ et K.________ lors du dépôt de leur plainte pénale. Cette appréciation est adéquate. Les déclarations des plaignants sont corroborées par le témoignage des deux filles de K.________ (PV aud. 6, R. 5; PV aud. 8, R. 5). Par ailleurs, les explications de cette dernière ont été constantes, contrairement à celles du prévenu qui a tout d’abord déclaré qu’il n’avait pas poussé sa victime par terre (PV aud. 4, R. 6), avant de revenir sur ses déclarations devant le tribunal de police (jgt., p. 6). En outre, le retrait de la plainte (P. 26) et la version minimaliste exposée à l’audience de première instance par G.________ (jgt., p. 7) sont manifestement le résultat de l’influence du prévenu, qui a d’ailleurs contresigné le retrait de plainte. Il en va de même pour le fait que l’appelant était muni d’une arme, lorsqu’il a brutalisé sa victime. A nouveau, les descriptions concordantes de l’arme faite par les plaignants durant l’enquête emportent la conviction, d’autant qu’une telle arme a été ensuite saisie au domicile de prévenu et confisquée par le bureau des armes. De plus, les filles de la plaignante ont pu observer, immédiatement après l’altercation, des marques rouges au niveau du coup et/ou du front de G.________ (PV aud. 8, R. 5; PV aud. 6, R. 5). Enfin, il résulte de l’instruction également que l’appelant a pénétré sans droit dans le logement de K.________, en s’y introduisant immédiatement après avoir frappé et en se montrant d’emblée menaçant (jgt., p. 16). Comme l’a retenu le premier juge, on ne comprendrait pas pourquoi, sinon, cette dernière aurait immédiatement crié, comme l’affirme l’appelant lui-même, dès qu’il est entré dans l’appartement (jgt., p. 13 in fine). Partant, les faits retenus en première instance doivent être confirmés.</w:t>
      </w:r>
    </w:p>
    <w:p>
      <w:r>
        <w:rPr>
          <w:b/>
        </w:rPr>
        <w:t>E. 3.2</w:t>
      </w:r>
    </w:p>
    <w:p>
      <w:r>
        <w:t>L’appelant soulève différents moyens relatifs aux éléments constitutifs objectifs et subjectifs de la tentative de contrainte. Dans la mesure où il développe son argumentation sur la base d’un état de fait qui n’est pas modifié comme il le souhaiterait, l’essentiel de ses griefs tombent à faux. Il y sera dès lors répondu succinctement.</w:t>
      </w:r>
    </w:p>
    <w:p>
      <w:r>
        <w:rPr>
          <w:b/>
        </w:rPr>
        <w:t>E. 3.2.1</w:t>
      </w:r>
    </w:p>
    <w:p>
      <w:r>
        <w:t>Aux termes de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Ainsi, l’art. 181 CP prévoit alternativement trois moyens de contrainte : l’usage de la violence, la menace d’un dommage sérieux ou tout acte entravant la personne dans sa liberté d’action. La menace est un moyen de pression psychologique consistant à annoncer un dommage futur dont la réalisation est présentée comme dépendante de la volonté de l’auteur, sans toutefois qu’il soit nécessaire que cette dépendance soit effective (ATF 117 IV 445 c. 2b; ATF 106 IV 125 c. 2a) ni que l’auteur ait réellement la volonté de réaliser sa menace (ATF 105 IV 120 c. 2a).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119 IV 301 c. 2a et les références citées). Enfin, l’infraction de l’art. 181 CP est intentionnelle, le dol éventuel étant suffisant (Dupuis et al., Petit Commentaire, Code pénal, Bâle 2012, nn. 35 et 36 ad art. 181 CP et les références citées).</w:t>
      </w:r>
    </w:p>
    <w:p>
      <w:r>
        <w:rPr>
          <w:b/>
        </w:rPr>
        <w:t>E. 3.2.2</w:t>
      </w:r>
    </w:p>
    <w:p>
      <w:r>
        <w:t>En l’espèce, compte tenu des faits retenus, en particulier de la violence exercée par l’appelant en renversant la victime de sa chaise roulante et en la menaçant avec une arme, il est évident que les éléments objectifs de l’infraction sont réalisés, la contrainte apparaissant, par les moyens utilisés, clairement illicite, même si l’appelant entendait récupérer une somme d’argent que la victime lui devait. En raison de la violence exercée, l’infraction est intentionnelle. Elle est toutefois restée dans sa forme tentée, aucun argent n’ayant été remis. C’est donc à bon droit que le premier juge a retenu que B.________ s’est rendu coupable de tentative de contrainte.</w:t>
      </w:r>
    </w:p>
    <w:p>
      <w:r>
        <w:rPr>
          <w:b/>
        </w:rPr>
        <w:t>E. 3.3</w:t>
      </w:r>
    </w:p>
    <w:p>
      <w:r>
        <w:t>L’appelant conclut également à libération de l’infraction à la LArm et de la violation de domicile, mais ne développe aucun grief spécifique hormis la contestation de fait déjà évoquée ci-dessus (cf. c. 3.1). Dans la mesure où il est établi que le prévenu possédait illicitement une arme et qu’il s’est introduit sans droit dans l’appartement des plaignants, il doit également être reconnu coupable de ces deux infractions.</w:t>
      </w:r>
    </w:p>
    <w:p>
      <w:r>
        <w:rPr>
          <w:b/>
        </w:rPr>
        <w:t>E. 4</w:t>
      </w:r>
    </w:p>
    <w:p>
      <w:r>
        <w:t>L’appelant conteste la quotité et le genre de la peine infligée.</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 ATF 129 IV 6 c. 6.1). La peine pécuniaire constitue la sanction principale dans le domaine de la petite et moyenne criminalité, les peines privatives de liberté ne devant être prononcées que lorsque l’Etat ne peut garantir d’une autre manière la sécurité publique (ATF 134 IV 97 c. 4.2.1 et 4.2.2). Lorsque tant une peine pécuniaire qu’une peine privative de liberté entrent en considération et que toutes les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134 IV 97 c. 4.2.2; ATF 134 IV 82 c. 4.1). Le choix de la sanction doit être opéré en tenant compte au premier chef de l’adéquation de la peine, de ses effets sur l’auteur et sur sa situation sociale ainsi que de son efficacité du point de vue de la prévention (ATF 134 IV 97 c. 4.2; ATF 134 IV 82 c. 4.1).</w:t>
      </w:r>
    </w:p>
    <w:p>
      <w:r>
        <w:rPr>
          <w:b/>
        </w:rPr>
        <w:t>E. 4.2</w:t>
      </w:r>
    </w:p>
    <w:p>
      <w:r>
        <w:t>En l’espèce, la culpabilité de B.________ est importante. A charge, il faut retenir le concours d’infractions de nature très différentes. L’agression est veule, dès lors que l’appelant s’en est pris à un handicapé de manière brutale. Les infractions à la LCR ne sont en outre pas anodines. Les antécédents de violence de l’appelant, à savoir les deux condamnations pour lésions corporelles simples qualifiées, montrent une propension inquiétante et le constat du premier juge à cet égard est pertinent, étant rappelé que l’intéressé fait actuellement encore l’objet d’une procédure pénale pour ce même type d’actes délictueux. En outre, l’attitude de l’appelant, rejetant la faute sur les autres et banalisant son comportement, montre une absence totale de prise de conscience. Enfin, il n’y a aucune circonstance atténuante, le retrait de plainte étant notamment le résultat de l’influence du prévenu. Au vu de ces circonstances, une peine privative de liberté est nécessaire pour des motifs de prévention spéciale. Les peines antérieures, à savoir les peines pécuniaires, les travaux d’intérêt général et les peines d’emprisonnement avec sursis, n’ont eu aucun effet sur l’appelant, celui-ci continuant à récidiver dans les mêmes domaines d’infractions (violence, circulation routière et stupéfiants). Il résulte de ces éléments que la peine prononcée en première instance est adéquate. Elle doit dès lors être confirmée. Pour le surplus, le pronostic à poser quant au comportement futur de l’appelant est défavorable, de sorte que ce dernier ne saurait bénéficier du sursis, ce qui n’est au demeurant pas contesté.</w:t>
      </w:r>
    </w:p>
    <w:p>
      <w:r>
        <w:rPr>
          <w:b/>
        </w:rPr>
        <w:t>E. 5</w:t>
      </w:r>
    </w:p>
    <w:p>
      <w:r>
        <w:t>En définitive, l’appel de B.________ doit être rejeté et le jugement entrepris entièrement confirmé.</w:t>
      </w:r>
    </w:p>
    <w:p>
      <w:r>
        <w:rPr>
          <w:b/>
        </w:rPr>
        <w:t>E. 6</w:t>
      </w:r>
    </w:p>
    <w:p>
      <w:r>
        <w:t>Vu l’issue de la cause, les frais de la procédure d'appel, constitués du seul émolument d’arrêt, par 1’610 fr. (art. 21 al. 1 et 2 TFJP [Tarif des frais judiciaires pénaux du 28 septembre 2010; RSV 312.03.1]), sont mis à la charge de l’appelant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