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119 vom 10. Oktober 2013</w:t>
      </w:r>
    </w:p>
    <w:p>
      <w:r>
        <w:t>VD Tribunal cantonal, 2013-10-10, FR</w:t>
      </w:r>
    </w:p>
    <w:p>
      <w:r>
        <w:rPr>
          <w:b/>
        </w:rPr>
        <w:t xml:space="preserve">Quelle: </w:t>
      </w:r>
      <w:r>
        <w:t>https://mcp.opencaselaw.ch/entscheid/vd_findinfo_Jug___2014___119</w:t>
      </w:r>
    </w:p>
    <w:p>
      <w:r>
        <w:t>FR: VD_FINDINFO Jug / 2014 / 119 du 10 octobre 2013</w:t>
      </w:r>
    </w:p>
    <w:p>
      <w:r>
        <w:t>IT: VD_FINDINFO Jug / 2014 / 119 del 10 ottobre 2013</w:t>
      </w:r>
    </w:p>
    <w:p>
      <w:pPr>
        <w:pStyle w:val="Heading2"/>
      </w:pPr>
      <w:r>
        <w:t>Regeste</w:t>
      </w:r>
    </w:p>
    <w:p>
      <w:r>
        <w:t>BRIGANDAGE, INFRACTION QUALIFIÉE, SURSIS PARTIEL À L'EXÉCUTION DE LA PEINE | 140 ch. 1 al. 1 CP, 140 ch. 1 al. 2 CP</w:t>
      </w:r>
    </w:p>
    <w:p>
      <w:pPr>
        <w:pStyle w:val="Heading2"/>
      </w:pPr>
      <w:r>
        <w:t>Erwägungen</w:t>
      </w:r>
    </w:p>
    <w:p>
      <w:r>
        <w:rPr>
          <w:b/>
        </w:rPr>
        <w:t>E. 4</w:t>
      </w:r>
    </w:p>
    <w:p>
      <w:r>
        <w:t>Invoquant une violation de l’art. 123 ch. 1 et ch. 2 al. 1 CP, le Ministère public reproche aux premiers juges de ne pas avoir retenu l’infraction de lésions corporelles simples qualifiées à l’encontre de X.________.</w:t>
      </w:r>
    </w:p>
    <w:p>
      <w:r>
        <w:rPr>
          <w:b/>
        </w:rPr>
        <w:t>E. 4.1</w:t>
      </w:r>
    </w:p>
    <w:p>
      <w:r>
        <w:t>Aux termes de l’art. 123 CP, celui qui, intentionnellement, aura fait subir à une personne une autre atteinte à l’intégrité corporelle ou à la santé sera, sur plainte, puni d’une peine privative de liberté de trois ans au plus ou d’une peine pécuniaire (ch. 1). La peine sera une peine privative de liberté de trois ans au plus ou une peine pécuniaire et la poursuite aura lieu d’office notamment si le délinquant a fait usage du poison, d’une arme ou d’un objet dangereux (ch. 2 al. 1). Selon la doctrine, il y a concours imparfait entre le brigandage (art. 140 CP) et les lésions corporelles simples (art. 123 CP et 125 al. 1 CP), sans parler des voies de fait (art. 126 CP), lorsque ces dernières sont la conséquence nécessaire des actes de violence utilisés pour mettre la victime hors d’état de résister, tel n’étant toutefois pas le cas lorsque l’auteur fait preuve d’une brutalité inutile (Dupuis et alii, Petit commentaire du Code pénal, Bâle 2012, n. 38 ad. art. 140 CP et les références citées).</w:t>
      </w:r>
    </w:p>
    <w:p>
      <w:r>
        <w:rPr>
          <w:b/>
        </w:rPr>
        <w:t>E. 4.2</w:t>
      </w:r>
    </w:p>
    <w:p>
      <w:r>
        <w:t>En l’espèce, les premiers juges ont relevé que les circonstances dans lesquelles Q.________ avait été blessé étaient peu claires et que l’état de fait contenu dans l’acte d’accusation n’était pas suffisamment caractérisé. Ils ont dès lors retenu que les lésions corporelles simples pouvaient être englobées dans la notion de violence contenue dans la définition du brigandage, de sorte qu’elles devaient être absorbées par l’art. 140 CP (jgt., p. 26). La Cour de céans fait sienne cette analyse qui ne prête pas le flanc à la critique. Il ressort en effet des déclarations de Q.________ que lorsqu’il a vu X.________ derrière lui alors qu’il plaçait la recette dans le coffre-fort, il s’est mis en position de défense, les deux bras levés devant son visage, pensant que son agresseur n’était pas armé. Il a vu que son agresseur tenait un couteau et a alors ouvert ses mains pour montrer qu’il ne voulait pas se battre. A ce moment, X.________ a fait un geste avec le couteau de haut en bas dans la direction de Q.________ en disant « l’argent, l’argent », blessant ce dernier aux mains (PV aud. 2, p. 2). Compte tenu de ces circonstances, on doit admettre que les blessures infligées par X.________ à Q.________ sont la conséquence nécessaire des actes de violence utilisés pour le mettre hors d’état de résister. Les premiers juges ont dès lors retenu à juste titre que les lésions corporelles étaient englobées dans l’infraction de brigandage qualifié. Le grief, mal fondé, doit être rejeté.</w:t>
      </w:r>
    </w:p>
    <w:p>
      <w:r>
        <w:rPr>
          <w:b/>
        </w:rPr>
        <w:t>E. 5</w:t>
      </w:r>
    </w:p>
    <w:p>
      <w:r>
        <w:t>Le Ministère public requiert à l’encontre de E.________ et de K.________, le prononcé d’une peine privative de liberté de 30 mois, sous déduction des 194 jours de détention avant jugement que les deux prévenus ont subi.</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5.1.2</w:t>
      </w:r>
    </w:p>
    <w:p>
      <w:r>
        <w:t>Il ressort de l’art. 43 CP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 5.3.1). La question doit être tranchée sur la base d'une appréciation d'ensemble de tous les éléments pertinents, parmi lesquels les antécédents, la réputation et la situation personnelle de l'auteur ainsi que les circonstances de l'infraction (ATF 134 IV 1 c. 4.2.1).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(TF 6B_488/2010 du 4 octobre 2010 c. 3.1; ATF 134 IV 1 c. 5.6; Dupuis et alii, op. cit., n. 11 ad art. 43 CP et les références citées).</w:t>
      </w:r>
    </w:p>
    <w:p>
      <w:r>
        <w:rPr>
          <w:b/>
        </w:rPr>
        <w:t>E. 5.2</w:t>
      </w:r>
    </w:p>
    <w:p>
      <w:r>
        <w:t>En l’espèce, outre les éléments à charge et à décharge retenus par les premiers juges (jgt., p. 28), il y a lieu de tenir compte de l’admission partiel de l’appel du Parquet s’agissant de la circonstance aggravante du brigandage au sens de l’art. 140 ch. 2 CP, retenue à l’encontre de E.________ et de K.________. La Cour de céans retiendra également à charge le fait que les prévenus ont, tout au long de la procédure, persisté à rejeter la responsabilité sur leur comparse absent. A décharge, il y a lieu de relever les excuses que les deux prévenus ont présentées durant la procédure ainsi qu’aux débats d’appel, qui semblent sincères. Au vu de l’ensemble de ces éléments, c’est une peine privative de liberté de 26 mois qui doit être prononcée à l’encontre de E.________ et de K.________. Cette quotité est adéquate au regard de l’infraction commise, de leur culpabilité et de leur situation personnelle. E.________ et K.________ sont des délinquants primaires. Chacun d’eux a, en outre, un projet de réinsertion professionnelle. Partant, il y a lieu de suspendre l’exécution d’une partie de la peine privative de liberté portant sur 20 mois, le délai d’épreuve étant fixé à trois ans.</w:t>
      </w:r>
    </w:p>
    <w:p>
      <w:r>
        <w:rPr>
          <w:b/>
        </w:rPr>
        <w:t>E. 6</w:t>
      </w:r>
    </w:p>
    <w:p>
      <w:r>
        <w:t>En définitive, l’appel du Ministère public de l’arrondissement de Lausanne est partiellement admis en ce sens que E.________ et K.________ sont reconnus coupable de brigandage qualifié et condamnés à une peine privative de liberté de 26 mois, sous déduction de 194 jours de détention avant jugement, l’exécution d’une partie de la peine portant sur 20 mois, étant suspendue. Le jugement rendu le 10 octobre 2013 par le Tribunal correctionnel de l’arrondissement de Lausanne est confirmé pour le surplus. Vu l'issue de la cause, les frais d'appel, par 2'460 fr. (art. 21 al. 1 et 2 TFJP [Tarif des frais judiciaires pénaux du 28 septembre 2010, RSV 312.03.1]), doivent être mis par un tiers à la charge de E.________ et par un tiers à la charge de K.________, le solde étant laissé à la charge de l’Etat. Il convient d’allouer une indemnité de défenseur d'office pour la procédure d'appel d'un montant de 1’210 fr. 70, TVA et débours inclus, à Me Robert Fox, d’un montant de 1’767 fr. 95, TVA et débours inclus, à Me Vincent Demierre, d’un montant de 1'210 fr. 20, TVA et débours inclus, à Me Matthieu Genillod et d’un montant de 1’321 fr. 90, TVA et débours inclus, à Me Lise-Marie Gonzalez Pennec. E.________ et K.________ ne seront tenus de rembourser à l’Etat l’indemnité en faveur de leur défenseur d’office respectif que lorsque leur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