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115 vom 4. März 2014</w:t>
      </w:r>
    </w:p>
    <w:p>
      <w:r>
        <w:t>VD Tribunal cantonal, 2014-03-04, FR</w:t>
      </w:r>
    </w:p>
    <w:p>
      <w:r>
        <w:rPr>
          <w:b/>
        </w:rPr>
        <w:t xml:space="preserve">Quelle: </w:t>
      </w:r>
      <w:r>
        <w:t>https://mcp.opencaselaw.ch/entscheid/vd_findinfo_Jug___2014___115</w:t>
      </w:r>
    </w:p>
    <w:p>
      <w:r>
        <w:t>FR: VD_FINDINFO Jug / 2014 / 115 du 4 mars 2014</w:t>
      </w:r>
    </w:p>
    <w:p>
      <w:r>
        <w:t>IT: VD_FINDINFO Jug / 2014 / 115 del 4 marzo 2014</w:t>
      </w:r>
    </w:p>
    <w:p>
      <w:pPr>
        <w:pStyle w:val="Heading2"/>
      </w:pPr>
      <w:r>
        <w:t>Regeste</w:t>
      </w:r>
    </w:p>
    <w:p>
      <w:r>
        <w:t>NON-LIEU | 310 CPP (CH)</w:t>
      </w:r>
    </w:p>
    <w:p>
      <w:pPr>
        <w:pStyle w:val="Heading2"/>
      </w:pPr>
      <w:r>
        <w:t>Erwägungen</w:t>
      </w:r>
    </w:p>
    <w:p>
      <w:r>
        <w:rPr>
          <w:b/>
        </w:rPr>
        <w:t>E. 1</w:t>
      </w:r>
    </w:p>
    <w:p>
      <w:r>
        <w:t>Selon la date du timbre postal, l'ordonnance attaquée a été expédiée le 16 janvier 2014 à l'attention du conseil de R.________. Elle a été reçue le lendemain par cet avocat (P. 1 et P. 2 du bordereau du recourant). Le délai de recours a donc commencé à courir le 18 janvier 2014 pour échoir le lundi 27 janvier 2014. Posté le 24 janvier 2014 et reçu le 27 janvier suivant par l'autorité de céans, le recours a été interjeté en temps utile (art. 322 al. 2 CPP, applicable par renvoi de l’art. 310 al. 2 CPP, 384 let. b CPP, 396 al. 1 CPP) contre une décision du Ministère public (art. 310 et 393 al. 1 let. a CPP) par la partie plaignante, qui a qualité pour recourir (art. 382 al. 1 CPP). Il est donc recevable.</w:t>
      </w:r>
    </w:p>
    <w:p>
      <w:r>
        <w:rPr>
          <w:b/>
        </w:rPr>
        <w:t>E. 2.1</w:t>
      </w:r>
    </w:p>
    <w:p>
      <w:r>
        <w:t>Tel qu'il est garanti à l'art. 29 al. 2 Cst (Constitution fédérale de la Confédération suisse du 18 avril 1999; RS 101), le droit d'être entendu confère à toute personne celui d'exiger, en principe, qu'un jugement ou une décision défavorable à sa cause soit motivée. L'objet et la précision des indications à fournir dépendent de la nature de l'affaire et des circonstances particulières du cas; néanmoins, en règle générale, il suffit que l'autorité mentionne au moins brièvement les motifs qui l'ont guidée. L'autorité peut se limiter à l'examen des questions décisives pour l'issue du litige; il suffit que le justiciable puisse apprécier correctement la portée de la décision et l'attaquer à bon escient et que l'autorité de recours puisse exercer son contrôle (ATF 138 I 232 c. 5.1 et les références citées).</w:t>
      </w:r>
    </w:p>
    <w:p>
      <w:r>
        <w:rPr>
          <w:b/>
        </w:rPr>
        <w:t>E. 2.2</w:t>
      </w:r>
    </w:p>
    <w:p>
      <w:r>
        <w:t>A lire les prises de position du Parquet, on comprend que d'après de cette autorité, le plaignant se borne à relater les zones d'ombres dues notamment au silence de I.________ et ne met en exergue ni des éléments constitutifs d'une infraction pénale pouvant être reprochée au prévenu, ni même des soupçons permettant d'orienter d'éventuelles investigations. Cela étant, il est possible de comprendre les motifs qui ont fondé la position du Ministère public. Le fait que cette autorité ne se soit pas prononcée sur tous les arguments du recourant ne constitue pas une violation des exigences de motivation découlant de l'art. 29 al. 2 Cst. et des règles de procédure (art. 80 et 81 CPP). Il apparaît, en tout état de cause, qu'au vu du contenu de son recours, R.________ a été en mesure d'apprécier correctement la portée de l'ordonnance entreprise et de l'attaquer à bon escient. Ce grief est donc mal fondé.</w:t>
      </w:r>
    </w:p>
    <w:p>
      <w:r>
        <w:rPr>
          <w:b/>
        </w:rPr>
        <w:t>E. 3.1</w:t>
      </w:r>
    </w:p>
    <w:p>
      <w:r>
        <w:t>Le recourant soutient qu'au vu des faits décrits dans sa plainte et ses annexes, il n'était pas d'emblée et clairement exclu que I.________ ait pu commettre des infractions contre le patrimoine de feu son père Q.________ – telles que l'abus de confiance, l'usure voire l'escroquerie, et la gestion déloyale –, de sorte qu'une enquête pénale aurait dû être ouverte contre le prévenu.</w:t>
      </w:r>
    </w:p>
    <w:p>
      <w:r>
        <w:rPr>
          <w:b/>
        </w:rPr>
        <w:t>E. 3.2</w:t>
      </w:r>
    </w:p>
    <w:p>
      <w:r>
        <w:t>Conformément à l'art. 310 let. a CPP, le procureur rend immédiatement – c'est-à-dire sans qu'une instruction soit ouverte – une ordonnance de non-entrée en matière lorsqu'il apparaît, à réception de la dénonciation (cf. art. 301 s. CPP) ou de la plainte (Cornu, in : Kuhn/Jeanneret [éd.], Commentaire romand, Code de procédure pénale suisse, Bâle 2011, nn. 1 et 2 ad art. 310 CPP) ou après une procédure préliminaire limitée aux investigations de la police (art. 300 al. 1 et 306 s. CPP), que les éléments constitutifs d'une infraction ou les conditions d'ouverture de l'action pénale ne sont manifestement pas réunis (TF 1B_709/2012 du 21 février 2013 c. 3.1; TF 1B_67/2012 du 29 mai 2012 c. 2.2). Selon cette disposition, il importe que les éléments constitutifs de l'infraction ne soient manifestement pas réunis. La doctrine précise à ce sujet qu'il suffit que l'un des éléments constitutifs de l'infraction ne soit manifestement pas réalisé (Cornu, in: Kuhn/Jeanneret [éd.], Commentaire romand, Code de procédure pénale suisse, Bâle 2011, n. 8 ad art. 310 CPP). Il faut être certain que l'état de fait ne constitue aucune infraction, ce qui est le cas lors de litiges purement civils.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et les références citées). En revanche, le Ministère public doit pouvoir rendre une ordonnance de non-entrée en matière dans les cas où il apparaît d’emblée qu’aucun acte d’enquête ne pourra apporter la preuve d’une infraction à la charge d’une personne déterminée (TF 1B_67/2012 du 29 mai 2012 c. 3.2). En effet, il ne se justifie pas d’ouvrir une instruction pénale (art. 309 CPP) qui devra être close par une ordonnance de classement dans la mesure où une condamnation apparaît très vraisemblablement exclue (ATF 138 IV 86 c. 4.1.1; TF 1B_272/2011 du 22 mars 2012 c. 3.1.1).</w:t>
      </w:r>
    </w:p>
    <w:p>
      <w:r>
        <w:rPr>
          <w:b/>
        </w:rPr>
        <w:t>E. 3.3</w:t>
      </w:r>
    </w:p>
    <w:p>
      <w:r>
        <w:t>Aux termes de l'art. 158 ch. 1 CP (Code pénal; RS 311.0), se rend coupable de gestion déloyale celui qui, en vertu de la loi, d'un mandat officiel ou d'un acte juridique, est tenu de gérer les intérêts pécuniaires d'autrui ou de veiller sur leur gestion et qui, en violation de ses devoirs, aura porté atteinte à ces intérêts ou aura permis qu'ils soient lésés; l’art. 158 ch. 2 CP réprime la gestion déloyale qualifiée, dont se rend coupable celui qui, dans le dessein de se procurer ou de procurer à un tiers un enrichissement illégitime, aura abusé du pouvoir de représentation que lui confère la loi, un mandat officiel ou un acte juridique et aura ainsi porté atteinte aux intérêts pécuniaires du représenté.</w:t>
      </w:r>
    </w:p>
    <w:p>
      <w:r>
        <w:rPr>
          <w:b/>
        </w:rPr>
        <w:t>E. 3.4</w:t>
      </w:r>
    </w:p>
    <w:p>
      <w:r>
        <w:t>Réprimant l’abus de confiance, l’art. 138 CP prévoit que celui qui, pour se procurer ou procurer à un tiers un enrichissement illégitime, se sera approprié une chose mobilière appartenant à autrui et qui lui avait été confiée, celui qui, sans droit, aura employé à son profit ou au profit d’un tiers des valeurs patrimoniales qui lui avaient été confiées, sera puni d’une peine privative de liberté de cinq ans au plus ou d’une peine pécuniaire. Les éléments constitutifs objectifs de l’infraction d’abus de confiance sont au nombre de quatre, à savoir un auteur à qui une chose mobilière ou une valeur patrimoniale a été confiée (a), l’objet de l’infraction qui peut consister en une chose mobilière confiée ou des valeurs patrimoniales confiées (b), un acte d’appropriation portant sur l’objet de l’infraction (c) et un dommage (d). Cette disposition distingue deux formes d'abus de confiance suivant la nature de l'objet de l'infraction, lequel consiste soit en une chose mobilière confiée, soit en des valeurs patrimoniales confiées (art. 138 ch. 1 al. 1 et 2 CP ; Dupuis/ Geller/Monnier/Moreillon/Piguet/Bettex/Stoll [éd.], Petit commentaire du Code pénal, Bâle 2012, n. 2 ad art. 138 CP; CREP 14 février 2014/123 c. 2.3). Cette infraction est intentionnelle et l’auteur doit agir dans un dessein d’enrichissement illégitime.</w:t>
      </w:r>
    </w:p>
    <w:p>
      <w:r>
        <w:rPr>
          <w:b/>
        </w:rPr>
        <w:t>E. 3.5</w:t>
      </w:r>
    </w:p>
    <w:p>
      <w:r>
        <w:t>Si l'escroquerie (art. 146 CP) est réalisée, elle prime l'usure (Dupuis/Geller/Monnier/Moreillon/Piguet/Bettex/Stoll [éd.], Petit commentaire du Code pénal, Bâle 2012, n.39 ad art. 157 CP, p. 905, CREP 18 janvier 2013/49 c. 2). Se rend coupable d'escroquerie d'après l'art. 146 al. 1 CP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La tromperie astucieuse au sens de cette disposition est réalisée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133 IV 256 c. 4.4.3; ATF 128 IV 18 c. 3a; ATF 122 II 422 c. 3a; ATF 122 IV 246 c. 3a et les arrêts cités; TF 6B_599/2011 du 16 mars 2012 c. 2.1.1). Un édifice de mensonges, pour être astucieux, n'est réalisé que si les mensonges sont l'expression d'une rouerie particulière et se recoupent de manière si subtile que même une victime faisant preuve d'esprit critique se laisse tromper (ATF 119 IV 28 c. 3c; Dupuis et al. [éd.], op. cit., n. 12 ad art. 146 CP, p. 833; CREP 18 janvier 2013/49 c. 2 op. cit. ) .</w:t>
      </w:r>
    </w:p>
    <w:p>
      <w:r>
        <w:rPr>
          <w:b/>
        </w:rPr>
        <w:t>E. 4.1</w:t>
      </w:r>
    </w:p>
    <w:p>
      <w:r>
        <w:t>En l'espèce, il ressort des pièces produites par R.________ à l'appui de sa plainte (P. 18 à 22 de la P. 5 du bordereau du plaignant), que de son vivant, Q.________ avait confié à I.________, personnellement ou pour [...], plusieurs montants en vue de la conclusion de différentes affaires commerciales, ce que le prévenu aurait admis en séance du 21 juin 2011. Il se serait donc vu confier, le 23 juin 2005, 45'000 fr. à investir dans une affaire immobilière, le 14 octobre 2005, 80'000 fr. en vue d'acquérir une cédule hypothécaire et 40'000 fr., le 22 mai 2006, dont le remboursement était garanti par une cession de créance. Dans la mesure où les pièces produites à l'appui de la plainte montrent que I.________ n'a pas utilisé les fonds précités aux fins prévues (P. 21 et 22 de la P. 5 du bordereau du plaignant), qu'il semble ne pas avoir rendu cet argent, qu'il ne produit aucune pièce relative aux affaires conclues pour Q.________ et refuse de s'expliquer à ce sujet malgré plusieurs relances, son comportement pourrait relever d'un abus de confiance (art. 138 CP). Au demeurant, dès lors que la situation économique du prévenu est gravement obérée, et celle de la société [...] difficile, il conviendrait d'examiner si les montants en cause n'ont pas été détournés, ce qui pourrait également être constitutif d'une infraction à l'art. 138 CP.</w:t>
      </w:r>
    </w:p>
    <w:p>
      <w:r>
        <w:rPr>
          <w:b/>
        </w:rPr>
        <w:t>E. 4.2</w:t>
      </w:r>
    </w:p>
    <w:p>
      <w:r>
        <w:t>I.________ serait encore intervenu dans d'autres affaires de feu Q.________, en particulier dans la vente des parts sociales de la société [...] et sa transformation en [...] dans la promotion immobilière [...]), ainsi que dans des mandats généraux (P. 4, 5, 10, 17, 21, 23, 25 26 et 28 de la P.</w:t>
      </w:r>
    </w:p>
    <w:p>
      <w:r>
        <w:rPr>
          <w:b/>
        </w:rPr>
        <w:t>E. 4.3</w:t>
      </w:r>
    </w:p>
    <w:p>
      <w:r>
        <w:t>En définitive et contrairement à ce que retient l'ordonnance attaquée, les pièces produites à l'appui de la plainte comportent suffisamment d'indices de commission des infractions contre le patrimoine d'Q.________ pour justifier l'ouverture d'une instruction pénale contre I.________ Les conditions posées par l'art. 310 al.1 let. a CPP n'étant pas réunies, c'est à tort que le Parquet n'a pas instruit les faits plus avant.</w:t>
      </w:r>
    </w:p>
    <w:p>
      <w:r>
        <w:rPr>
          <w:b/>
        </w:rPr>
        <w:t>E. 5</w:t>
      </w:r>
    </w:p>
    <w:p>
      <w:r>
        <w:t>Il résulte de ce qui précède que le recours doit être admis, l'ordonnance de non-entrée en matière du 10 janvier 2014 annulée et la cause renvoyée au Ministère public pour qu'il ouvre une instruction sur la base des faits dénoncés par le plaignant. Le recourant obtenant gain de cause, les frais d'arrêt, par 1'100 fr. (art. 20 al. 1 TFJP [tarif des frais judiciaires pénaux; RSV 312.03.1]), seront laissés à la charge de l'Etat (art. 423 al. 1 CPP). Par ces motifs, la Chambre des recours pénale, statuant à huis clos prononce : I. Le recours est admis. II. L'ordonnance du 10 janvier 2014 est annulée et le dossier de la cause est renvoyé au Ministère public de l'arrondissement de l'Est vaudois pour qu'il procède dans le sens des considérants. III. Les frais d'arrêt, par 1'100 fr. (mille cent francs), sont laissés à la charge de l'Etat. IV. Le présent arrêt est exécutoire. Le président :               La greffière : Du L'arrêt qui précède, dont la rédaction a été approuvée à huis clos, est notifié, par l'envoi d'une copie complète, à : - Me Patrice Girardet (avocat) pour R.________, - I.________, - Ministère public central, et communiqué à : ‑ M. le Procureur de l'arrondissement de l'Est vaudois,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