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108 vom 3. April 2014</w:t>
      </w:r>
    </w:p>
    <w:p>
      <w:r>
        <w:t>VD Tribunal cantonal, 2014-04-03, FR</w:t>
      </w:r>
    </w:p>
    <w:p>
      <w:r>
        <w:rPr>
          <w:b/>
        </w:rPr>
        <w:t xml:space="preserve">Quelle: </w:t>
      </w:r>
      <w:r>
        <w:t>https://mcp.opencaselaw.ch/entscheid/vd_findinfo_Jug___2014___108</w:t>
      </w:r>
    </w:p>
    <w:p>
      <w:r>
        <w:t>FR: VD_FINDINFO Jug / 2014 / 108 du 3 avril 2014</w:t>
      </w:r>
    </w:p>
    <w:p>
      <w:r>
        <w:t>IT: VD_FINDINFO Jug / 2014 / 108 del 3 aprile 2014</w:t>
      </w:r>
    </w:p>
    <w:p>
      <w:pPr>
        <w:pStyle w:val="Heading2"/>
      </w:pPr>
      <w:r>
        <w:t>Regeste</w:t>
      </w:r>
    </w:p>
    <w:p>
      <w:r>
        <w:t>ORDONNANCE DE CONDAMNATION, MOTIF DE RÉVISION | 410 al. 1 CPP, 410 CPP</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RS 312.0]), si la décision est en contradiction flagrante avec une décision pénale rendue postérieurement sur les mêmes faits (al. 1 let. b) ou s'il a été établi dans une autre procédure pénale que le résultat de la procédure a été influencé par une infraction (al.1 let. c). Cette disposition reprend la double exigence posée par l'art. 385 CP selon laquelle les faits ou moyens de preuve invoqués doivent être nouveaux et sérieux.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(CAPE 3 mai 2013/131 c.1.1 et les références citées).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(ATF 130 IV 72 c. 2.3).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(ibidem). Cette jurisprudence, rendue avant l’entrée en vigueur du CPP, a été confirmée depuis lors (TF 6B_310/2011 du 20 juin 2011 c. 1.3; cf. ég. CAPE 18 juin 2013/157; CAPE 3 mai 2013/131, op. cit.). 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(CAPE du 5 mars 2014 c. 1.2 et réf.).</w:t>
      </w:r>
    </w:p>
    <w:p>
      <w:r>
        <w:rPr>
          <w:b/>
        </w:rPr>
        <w:t>E. 1.2</w:t>
      </w:r>
    </w:p>
    <w:p>
      <w:r>
        <w:t>U.________ a choisi de ne pas faire opposition à l'ordonnance pénale du 1 er novembre 2014, qui est dès lors assimilable à un jugement entré en force. La requérante a préféré agir ultérieurement par la voie de la révision pour tenter à nouveau de faire authentifier son permis. Elle a produit à cet égard deux pièces (P. 4 et P. 5 du bordereau de révision) censées démontrer qu'elle a bien passé une licence de conduite le 10 mars 1986. Ces attestations ne permettent toutefois pas de remettre en cause les constats faits par la police cantonale de sûreté dans son rapport du 30 avril 2013. En effet, la P.</w:t>
      </w:r>
    </w:p>
    <w:p>
      <w:r>
        <w:rPr>
          <w:b/>
        </w:rPr>
        <w:t>E. 1.3</w:t>
      </w:r>
    </w:p>
    <w:p>
      <w:r>
        <w:t>Il y a lieu de refuser d'entrer en matière au sens de l'art. 412 al. 2 CPP, le caractère abusif de la demande ayant pour conséquence qu'elle est irrecevable (CAPE 3 mai 2013/131, op. cit., c.1.3). 2. La présente décision sera rendue sans frais (CAPE 3 mars 2013/13; CAPE 5 mars 2014/76).</w:t>
      </w:r>
    </w:p>
    <w:p>
      <w:r>
        <w:rPr>
          <w:b/>
        </w:rPr>
        <w:t>E. 4</w:t>
      </w:r>
    </w:p>
    <w:p>
      <w:r>
        <w:t>mentionne que la requérante est née le 20 mai 1966, alors que la P. 5 indique le 25 mai U.________. En outre ont été reproduites les erreurs dans l'orthographe du nom de la prévenue – désignée comme étant [...] au lieu de U.________" – déjà relevées par la police scientifique dans son rapport du 30 avril 2013. Ainsi, les pièces nouvellement produites sont dénuées de valeur probante et ne sauraient être qualifiés de moyens de preuve sérieux au sens exposé ci-dessus, de sorte que demande de révision paraît mal fondée et devrait être rejetée. En tout état de cause, cette demande apparaît abusive dès lors que les faits allégués par U.________ en révision auraient pu être révélés dans une procédure ordinaire mise en oeuvre par une simple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