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105 vom 2. Dezember 2013</w:t>
      </w:r>
    </w:p>
    <w:p>
      <w:r>
        <w:t>VD Tribunal cantonal, 2013-12-02, FR</w:t>
      </w:r>
    </w:p>
    <w:p>
      <w:r>
        <w:rPr>
          <w:b/>
        </w:rPr>
        <w:t xml:space="preserve">Quelle: </w:t>
      </w:r>
      <w:r>
        <w:t>https://mcp.opencaselaw.ch/entscheid/vd_findinfo_Jug___2014___105</w:t>
      </w:r>
    </w:p>
    <w:p>
      <w:r>
        <w:t>FR: VD_FINDINFO Jug / 2014 / 105 du 2 décembre 2013</w:t>
      </w:r>
    </w:p>
    <w:p>
      <w:r>
        <w:t>IT: VD_FINDINFO Jug / 2014 / 105 del 2 dicembre 2013</w:t>
      </w:r>
    </w:p>
    <w:p>
      <w:pPr>
        <w:pStyle w:val="Heading2"/>
      </w:pPr>
      <w:r>
        <w:t>Regeste</w:t>
      </w:r>
    </w:p>
    <w:p>
      <w:r>
        <w:t>DISPOSITIONS PÉNALES DE LA LSTUP, COMMERCE DE STUPÉFIANTS, CAS GRAVE, FIXATION DE LA PEINE, SURSIS PARTIEL À L'EXÉCUTION DE LA PEINE | 43 CP, 47 CP, 19 ch. 2 let. a LStup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supra ), de sorte que le jugement, d’ailleurs bien motivé et convaincant, doit être confirmé sur ce point (jugt, pp. 12 et 13). Il ne conteste pas la quantité totale de 185 grammes de cocaïne brute, mais la quantité totale de cocaïne pure retenue par les premiers juges. Selon lui, le tribunal devait appliquer à ces 185 grammes le taux qui lui était le plus favorable, à savoir 4,8 %, de sorte que la limite à partir de laquelle le cas doit être considéré comme grave au sens de l’art. 19 al. 2 LStup (Loi fédérale sur les stupéfiants et les substances psychotropes du 3 octobre 1951, RS 812.121) ne serait pas atteinte.</w:t>
      </w:r>
    </w:p>
    <w:p>
      <w:r>
        <w:rPr>
          <w:b/>
        </w:rPr>
        <w:t>E. 3.1</w:t>
      </w:r>
    </w:p>
    <w:p>
      <w:r>
        <w:t>Selon la jurisprudence, pour déterminer si le cas est objectivement grave au sens de l’art. 19 al. 2 let. a LStup, c’est-à-dire s’il y a mise en danger de la santé de nombreuses personnes, il faut prendre en considération la quantité de drogue pure sur laquelle a porté l’infraction, qui est seule décisive (TF 6B_637/2007 du 15 février 2008 c. 3.3.1; TF 6P.99/2003 du 9 décembre 2003 c. 3.3.4; ATF 121 IV 193 c. 2b/aa p. 196). En principe, on procédera à l’analyse de la drogue saisie. Si cet examen est impossible, il s’agit d’une question d’appréciation des preuves et le juge peut, en l’absence d’autres éléments, par exemple si aucun témoin n'a pu se prononcer sur la qualité de la marchandise, admettre sans arbitraire que la drogue était d’une qualité moyenne et se référer au degré de pureté habituel sur le marché à l’époque et au lieu en question (Corboz, Les infractions en droit suisse, 3ème éd., vol. II, Berne 2010, pp. 917 et 918).</w:t>
      </w:r>
    </w:p>
    <w:p>
      <w:r>
        <w:rPr>
          <w:b/>
        </w:rPr>
        <w:t>E. 3.2</w:t>
      </w:r>
    </w:p>
    <w:p>
      <w:r>
        <w:t>En l’espèce, pour déterminer la quantité de cocaïne pure, le tribunal de première instance n’a pas retenu le taux moyen de pureté de l’année 2011 (30 %). Se fondant sur le jugement rendu à l’encontre d’E.________ (P. 40), il a retenu que le taux de pureté de la drogue trafiquée par celui-ci s’élevait entre 12.1 et 16 %, soit un taux moyen de 14.05 %, et a appliqué ce taux aux 185 grammes de cocaïne brute sur lesquels a porté l’activité d’A.________. Cette appréciation ne porte pas le flanc à la critique, puisque le prévenu a agi pour le compte d’E.________. L’appelant fait valoir que les analyses opérées dans le cadre de l’affaire concernant E.________ présentaient un taux de pureté variable entre 4,8 et 24,2 % et que, par conséquent, le tribunal aurait dû retenir le taux le plus favorable, soit 4,8 %. On ne saurait suivre cette argumentation, dans la mesure où ce taux résulte de l’analyse d’une quantité de cocaïne de 29,28 grammes seulement, alors que le solde de la drogue saisie au domicile d’E.________, soit environ 60 grammes, présentait un taux moyen de 15,5 % et que l’activité déployée par ce dernier a porté sur un trafic de plus de 450 grammes au total (pièce 40). Le taux de pureté moyen de la drogue en possession d’A.________ au moment de son arrestation, soit 6,9 % (pièce 26), n’est pas non plus déterminant, compte tenu du fait que cette drogue, que celui-ci aurait d’ailleurs acquise auprès d’une personne autre qu’E.________ (PV aud. 7, R. 8), n’était pas destinée à la vente mais à son usage personnel, comme il l’a lui-même admis (PV aud. 7, R. 9; jugt, p. 4), et au vu de la quantité saisie, soit seulement quatre boulettes, ce qui n’est pas représentatif de l’activité illicite reprochée à l’appelant, portant sur 185 grammes en tout. Par ailleurs, le taux moyen de la drogue analysée dans le cadre du trafic concernant E.________ est plus favorable à l’appelant que le taux moyen annuel pour 2011. Enfin, les déclarations du trafiquant K.________ selon lesquelles la qualité de la cocaïne était mauvaise (appel, p. 3), ce qu’E.________ a confirmé (PV aud. 20, lignes 70 ss) s’agissant de la marchandise que lui avait livrée "[...]", qui est une fausse identité de K.________ (PV aud. 24, ligne 26), ne heurte pas l’appréciation du tribunal au regard du taux finalement retenu (14,05 %), celui-ci étant très bas. Le tribunal aurait même pu retenir un taux de pureté légèrement supérieur, de 14,5 %, correspondant à la moyenne entre 4,8 et 24,2 % résultant de l’analyse de la drogue saisie au domicile d’E.________ (pièce 40 [acte d’accusation du 9 mars 2012, ch. 4]). Ainsi, appliqué aux 185 grammes de drogue brute trafiqués par l’appelant, le taux moyen de 14,05 % donne 25,99 grammes de cocaïne pure, ce qui constitue un cas grave au sens de l’art. 19 al. 2 LStup, une quantité de 18 grammes de cocaïne pure étant considérée comme suffisante pour mettre en danger la santé de nombreuses personnes (TF 2C_260/2013 du 8 juillet 2013 c. 4.2). La condamnation d’A.________ pour infraction grave à la LStup doit donc être confirmée.</w:t>
      </w:r>
    </w:p>
    <w:p>
      <w:r>
        <w:rPr>
          <w:b/>
        </w:rPr>
        <w:t>E. 4</w:t>
      </w:r>
    </w:p>
    <w:p>
      <w:r>
        <w:t>L’appelant conclut à la réduction de la peine à huit mois de privation de liberté uniquement dans l’optique de l’admission de son précédent moyen, ce qui n’est pas le cas, comme on vient de le voir. Il conclut subsidiairement à une peine inférieure à celle qui lui a été infligée, faisant valoir que seule une partie très minime des faits qui lui sont reprochés concernent la remise de la drogue à des consommateurs.</w:t>
      </w:r>
    </w:p>
    <w:p>
      <w:r>
        <w:rPr>
          <w:b/>
        </w:rPr>
        <w:t>E. 4.1</w:t>
      </w:r>
    </w:p>
    <w:p>
      <w:r>
        <w:t>Les règles générales régissant la fixation de la peine ont été rappelées dans les arrêts publiés aux ATF 136 IV 55 et 134 IV 17 (consid.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 2b p. 301).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 2d/aa p. 204; ATF 118 IV 342 c. 2d p. 349).</w:t>
      </w:r>
    </w:p>
    <w:p>
      <w:r>
        <w:rPr>
          <w:b/>
        </w:rPr>
        <w:t>E. 4.2</w:t>
      </w:r>
    </w:p>
    <w:p>
      <w:r>
        <w:t>En l’espèce, la culpabilité de l’appelant, qui en est à sa deuxième condamnation pénale pour infraction à la LStup, est lourde. Comme l’ont retenu à juste titre les premiers juges, il a joué le rôle de l’homme de confiance d’E.________, surveillant ses arrières, veillant au bon déroulement des transactions et négociant pour son compte lorsqu’il le fallait (jugt, p. 14). On ne saurait considérer cette activité comme "une partie accessoire du trafic" (appel, p. 4). Le fait que le prévenu ait été contacté par E.________ pour négocier le prix d’une quantité de cocaïne de 15 à 20 grammes alors qu’il se trouvait au Maroc démontre au contraire qu’il jouait un rôle décisif dans la finalisation des opérations, opérations qui ont permis d’écouler 185 grammes de cocaïne en à peine deux mois. D’ailleurs, le prévenu a été disposé à transporter de la drogue pour le compte d’E.________ sans même se préoccuper de savoir quelle quantité de drogue il véhiculait (PV aud. 15, R. 25). A cela s’ajoute le fait que seule son arrestation a permis de mettre fin à ses agissements illicites. Ensuite, s’agissant du mobile, question que les premiers juges n’ont pas examinée, on ne saurait croire le prévenu lorsque celui-ci affirme n’avoir "touché aucune prestation" (PV aud. 21, lignes 75 et 79), mais avoir uniquement voulu rendre service à E.________ (PV aud. 14, ligne 29; jugt, p. 4). S’il a pris le risque de transporter de la drogue, alors qu’il avait déjà été condamné pour infraction à la LStup un peu plus de deux ans auparavant, c’est uniquement par appât du gain. Peu importe à cet égard qu’il n’ait pas été possible de déterminer ce qu’il à perçu à titre de rémunération pour ses "services". Il est d’ailleurs significatif de ce point de vue qu’alors qu’il avait prévu de vendre son iPhone neuf pour s’acquitter d’une facture relative à l’assurance du véhicule de son épouse, il a finalement échangé son appareil contre de la drogue (PV aud. 7, R. 8; jugt, p. 4). Le tribunal a retenu, à décharge, sa situation personnelle. Cet élément doit être relativisé, dès lors que si ce n’est quelques emplois temporaires, l’appelant, qui est titulaire d’un permis B, n’a, depuis son arrivée dans notre pays, jamais travaillé, mais se complaît dans l’oisiveté, malgré sa volonté réitérée d’entreprendre une formation (jugt, p. 5; p. 3 supra ), formation que sa mère serait même disposée à financer (p. 3 supra ). Enfin, l’admission de certains faits en cours de procédure, que les premiers juges ont également retenue à décharge, est contrebalancée par ses dénégations à l’audience de jugement, malgré les nombreux éléments l’incriminant (jugt, pp. 3 et 4), ce qui dénote une absence de prise de conscience. Au regard de ces éléments, la peine privative de liberté de dix-huit mois infligée à A.________ est adéquate et doit être confirmée.</w:t>
      </w:r>
    </w:p>
    <w:p>
      <w:r>
        <w:rPr>
          <w:b/>
        </w:rPr>
        <w:t>E. 5</w:t>
      </w:r>
    </w:p>
    <w:p>
      <w:r>
        <w:t>L’appelant requiert l’octroi d’un sursis complet. Il conteste également la durée du délai d’épreuve.</w:t>
      </w:r>
    </w:p>
    <w:p>
      <w:r>
        <w:rPr>
          <w:b/>
        </w:rPr>
        <w:t>E. 5.1</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 ATF 134 IV 1 c. 5.5.2 p. 14 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peine ferme de la peine doit demeurer proportionnée aux divers aspects de la faute (ATF 134 IV 1 c. 5.6 p. 15). Aux termes de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6B_101/2010 du 4 juin 2010 c. 2.1 et les références citées).</w:t>
      </w:r>
    </w:p>
    <w:p>
      <w:r>
        <w:rPr>
          <w:b/>
        </w:rPr>
        <w:t>E. 5.2</w:t>
      </w:r>
    </w:p>
    <w:p>
      <w:r>
        <w:t>En l’espèce, le pronostic est mitigé. Certes, l’appelant n’a plus commis d’infractions depuis sa libération provisoire. Aux débats de première instance, il a affirmé qu’il ne consommait plus de stupéfiants depuis l’ouverture de la présente procédure, qu’il regrettait ses actes et qu’il avait changé de fréquentations (jugt, p. 4). Son épouse, dont il est séparé, a déclaré que la détention avait été un choc pour lui, qu’il avait changé positivement et qu’elle était quasi certaine qu’il avait cessé toute consommation (jugt, p. 6). Reste que l’appelant a déjà un antécédent, ayant été condamné en décembre 2008 pour escroquerie, recel, blanchiment d’argent et infraction à la LStup, à cent vingt jours-amende (et non vingt jours-amende, comme indiqué à tort en page 10 du jugement attaqué), ce qui démontre qu’il n’a tiré aucun enseignement de sa précédente condamnation. On relèvera à cet égard que si, à l’époque, il avait vendu de la drogue pour financer sa consommation personnelle (pièce 45, p. 10), il a, ici, agi avec pour seul mobile l’appât du gain, alors que son existence et celle des siens étaient assurées, en partie, par le revenu de son épouse, de l’ordre de 4'000 fr. (pièce 6, p. 2), et, en partie, par des prestations sociales (PV aud. 7, R. 4 p. 3). De plus, à l’audience de jugement, il a nié les faits qu’il avait précédemment admis en relation avec la livraison de la drogue à Genève (PV aud. 15, R. 25; jugt, p. 3), ce qui atteste de son manque de prise de conscience, contrairement à ce qu’il prétend (appel, p. 7). A cela s’ajoute qu’il a minimisé les faits, persistant à faire croire qu’il aurait participé à ce trafic "à l’insu de son plein gré", dans le seul but de rendre service à son ami E.________ ( ibidem ), avant d’admettre, aux débats, qu’il se doutait bien qu’il transportait de la drogue (p. 3 in initio ). Enfin, comme on l’a vu, il se complait dans l’oisiveté, sa situation personnelle ne s’étant pas modifiée depuis sa précédente condamnation, si ce n’est qu’il est désormais séparé de son épouse et qu’il n’a pas deux, mais quatre enfants. Encore devant la cour de céans, il peine à s’expliquer sur ses démarches de recherches d’emploi, se limitant à préciser qu’il souhaite travailler dans la restauration et poursuivre ses études dans le domaine des assurances, études qui seraient, le cas échéant, financées par sa mère (p. 3 supra ). Le prévenu a fait plaider qu’il était très impliqué dans sa vie de famille et qu’il s’occupait de ses enfants; cette explication, qui doit être nuancée, dans la mesure où c’est sa femme qui entretient leurs enfants (p. 3 supra ), n’est pour le surplus pas déterminante, dès lors qu’à l’époque des faits, l’intéressé, qui n’était pas encore séparé, vivait avec ses quatre enfants, ce qui ne l’a pas dissuadé de récidiver, pas plus que le fait d’avoir déjà subi 30 jours de détention provisoire dans le cadre de la précédente procédure ayant conduit à sa condamnation de 2008 (pièce 40, p. 7). Dans ces conditions, seul un sursis partiel peut être accordé à A.________. Compte tenu de l'ensemble des circonstances, il se justifie de fixer la partie ferme de la peine à neuf mois (art. 43 al. 2 et 3 CP), qui pourront être exécutés sous forme de semi-détention si les conditions en sont réunies (art. 77b CP). Compte tenu de l’absence de prise de conscience d’A.________ et du risque de récidive, un délai d’épreuve de quatre ans s’impose, le précédent sursis de deux ans n’ayant par ailleurs eu aucun effet dissuasif sur le prénommé.</w:t>
      </w:r>
    </w:p>
    <w:p>
      <w:r>
        <w:rPr>
          <w:b/>
        </w:rPr>
        <w:t>E. 5.3</w:t>
      </w:r>
    </w:p>
    <w:p>
      <w:r>
        <w:t>Enfin, tant l'amende de 300 fr. que la peine privative de liberté de substitution de trois jours réprimant la contravention à la LStup, qui ne sont pas contestées, sont adéquates et peuvent être confirmées.</w:t>
      </w:r>
    </w:p>
    <w:p>
      <w:r>
        <w:rPr>
          <w:b/>
        </w:rPr>
        <w:t>E. 6</w:t>
      </w:r>
    </w:p>
    <w:p>
      <w:r>
        <w:t>En conclusion, l'appel doit être rejeté et le jugement attaqué intégralement confirmé. Vu l'issue de la cause, les frais d'appel doivent être mis à la charge d’A.________ (art. 428 al. 1 CPP). Outre l'émolument, ces frais comprennent l’indemnité allouée à son défenseur d’office, par 1’801 fr., TVA et débours compris, selon la liste d’opérations produite (pièce 55). Le prévenu ne sera tenu de rembourser à l’Etat le montant de l'indemnité en faveur de son défenseur d'office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