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97 vom 16. Februar 2012</w:t>
      </w:r>
    </w:p>
    <w:p>
      <w:r>
        <w:t>VD Tribunal cantonal, 2012-02-16, FR</w:t>
      </w:r>
    </w:p>
    <w:p>
      <w:r>
        <w:rPr>
          <w:b/>
        </w:rPr>
        <w:t xml:space="preserve">Quelle: </w:t>
      </w:r>
      <w:r>
        <w:t>https://mcp.opencaselaw.ch/entscheid/vd_findinfo_Jug___2013___97</w:t>
      </w:r>
    </w:p>
    <w:p>
      <w:r>
        <w:t>FR: VD_FINDINFO Jug / 2013 / 97 du 16 février 2012</w:t>
      </w:r>
    </w:p>
    <w:p>
      <w:r>
        <w:t>IT: VD_FINDINFO Jug / 2013 / 97 del 16 febbraio 2012</w:t>
      </w:r>
    </w:p>
    <w:p>
      <w:pPr>
        <w:pStyle w:val="Heading2"/>
      </w:pPr>
      <w:r>
        <w:t>Regeste</w:t>
      </w:r>
    </w:p>
    <w:p>
      <w:r>
        <w:t>FIXATION DE LA PEINE, PEINE, PEINE ACCESSOIRE, PEINE PÉCUNIAIRE, SURSIS PARTIEL À L'EXÉCUTION DE LA PEINE | 42 al. 4 CP, 43 al. 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2.1</w:t>
      </w:r>
    </w:p>
    <w:p>
      <w:r>
        <w:t>Dans son arrêt du 15 février 2013 le Tribunal fédéral a relevé que la quotité de la sanction ferme (90 jours-amende) par rapport à la sanction globale (300 jours-amende), respectivement à la peine avec sursis (210 jours-amende), excédait très largement la limite permettant, selon la jurisprudence, de reconnaître encore dans la première l'accessoire de la deuxième.</w:t>
      </w:r>
    </w:p>
    <w:p>
      <w:r>
        <w:rPr>
          <w:b/>
        </w:rPr>
        <w:t>E. 2.2</w:t>
      </w:r>
    </w:p>
    <w:p>
      <w:r>
        <w:t>Selon l'art. 42 al. 4 CP, le juge peut prononcer, en plus du sursis, une peine pécuniaire sans sursis ou une amende selon l’art. 106 CP.</w:t>
      </w:r>
    </w:p>
    <w:p>
      <w:r>
        <w:rPr>
          <w:b/>
        </w:rPr>
        <w:t>E. 2.3</w:t>
      </w:r>
    </w:p>
    <w:p>
      <w:r>
        <w:t>La combinaison des peines doit, d'un point de vue quantitatif, revêtir une importance secondaire, le principe du sursis comme règle ne devant pas être vidé de sa substance par l'art. 42 al. 4 CP (ATF 134 IV 60 c. 7.3.2). Plus précisément, pour tenir compte du caractère accessoire des peines cumulées, il se justifie en principe d'en fixer la limite supérieure à un cinquième de la sanction globale, respectivement un quart de la peine conditionnée au sursis, soit 20% de la peine principale (ATF 135 IV 188 c. 3.4.4).</w:t>
      </w:r>
    </w:p>
    <w:p>
      <w:r>
        <w:rPr>
          <w:b/>
        </w:rPr>
        <w:t>E. 2.4</w:t>
      </w:r>
    </w:p>
    <w:p>
      <w:r>
        <w:t>En l'espèce, pour respecter cette proportion, la peine pécuniaire ferme doit ainsi être arrêtée à 60 jours-amende, correspondant à un cinquième de la sanction globale de 300 jours-amende. En effet, la nécessité d'une sanction immédiate substantielle repose sur des impératifs de prévention spéciale, l'appelant ayant persisté à dénigrer la plaignante en se posant en victime. En outre, contrairement à ce que soutient l'appelant dans ses dernières déterminations, il n'est pas question de revenir sur la nécessité d'une sanction immédiate, le Tribunal fédéral ayant définitivement statué sur cette question en l'approuvant au chiffre 6.3 de son arrêt. Le montant du jour-amende n'est pas non plus remis en question. Vu ce qui précède, l'appel de C.________ est partiellement admis.</w:t>
      </w:r>
    </w:p>
    <w:p>
      <w:r>
        <w:rPr>
          <w:b/>
        </w:rPr>
        <w:t>E. 3</w:t>
      </w:r>
    </w:p>
    <w:p>
      <w:r>
        <w:t>Les frais de la procédure d'appel seront, quant à eux, mis par trois quarts à la charge de l'appelant, le solde étant laissé à la charge de l'Etat. Ils comprennent l'indemnité de conseil d'office de la plaignante pour la procédure d'appel allouée à Me De Courten par 2’214 fr. (433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