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85 vom 22. November 2012</w:t>
      </w:r>
    </w:p>
    <w:p>
      <w:r>
        <w:t>VD Tribunal cantonal, 2012-11-22, FR</w:t>
      </w:r>
    </w:p>
    <w:p>
      <w:r>
        <w:rPr>
          <w:b/>
        </w:rPr>
        <w:t xml:space="preserve">Quelle: </w:t>
      </w:r>
      <w:r>
        <w:t>https://mcp.opencaselaw.ch/entscheid/vd_findinfo_Jug___2013___85</w:t>
      </w:r>
    </w:p>
    <w:p>
      <w:r>
        <w:t>FR: VD_FINDINFO Jug / 2013 / 85 du 22 novembre 2012</w:t>
      </w:r>
    </w:p>
    <w:p>
      <w:r>
        <w:t>IT: VD_FINDINFO Jug / 2013 / 85 del 22 novembre 2012</w:t>
      </w:r>
    </w:p>
    <w:p>
      <w:pPr>
        <w:pStyle w:val="Heading2"/>
      </w:pPr>
      <w:r>
        <w:t>Regeste</w:t>
      </w:r>
    </w:p>
    <w:p>
      <w:r>
        <w:t>VIOLATION DES RÈGLES DE LA CIRCULATION, PEINE PÉCUNIAIRE, FIXATION DE LA PEINE, RÉVOCATION DU SURSIS | 106 CP, 90 ch. 2 LCR, 90 LCR, 92 al. 1 LCR</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 et délais légaux contre un jugement d’un tribunal de première instance ayant clos la procédure (art. 398 al. 1 CPP), l'appel de S.________ est recevable.</w:t>
      </w:r>
    </w:p>
    <w:p>
      <w:r>
        <w:rPr>
          <w:b/>
        </w:rPr>
        <w:t>E. 2</w:t>
      </w:r>
    </w:p>
    <w:p>
      <w:r>
        <w:t>ad art. 18). Le Code pénal ne prévoit pas expressément l'état de nécessité putatif. Une telle figure juridique est toutefois envisageable lorsque l'auteur, en raison d'une représentation erronée des faits, se croit en situation de danger. L'art. 13 CP est applicable (ATF 129 IV 6 c. 3.2, JT 2005 IV 215; ATF 122 IV 1 c. 2b). Aux termes de l'art. 13 al. 2 CP, celui qui pouvait éviter l'erreur en usant des précautions voulues est punissable pour négligence si la loi réprime son acte comme infraction de négligence (ATF 104 IV 261, JT 1979 I 444). L'ivresse au volant ainsi que toutes les autres infractions à la LCR en vertu de l'art. 100 de cette loi, sont punissables par négligence (Weissenberger, Kommentar zum Strassenverkehrsgesetz: Bundesgerichtspraxis, Zurich 2011, n. 22 ad art. 91 LCR). L'art. 218 CPP dispose notamment que lorsque l’aide de la police ne peut être obtenue à temps, un particulier a le droit d’arrêter provisoirement une personne qu'il a surpris en flagrant délit de crime ou de délit ou l’a interceptée immédiatement après un tel acte (al. 1 let. a), la personne arrêtée étant remise à la police dès que possible (al. 3).</w:t>
      </w:r>
    </w:p>
    <w:p>
      <w:r>
        <w:rPr>
          <w:b/>
        </w:rPr>
        <w:t>E. 2.1</w:t>
      </w:r>
    </w:p>
    <w:p>
      <w:r>
        <w:t>L'art. 17 CP dispose que quiconque commet un acte punissable pour préserver d’un danger imminent et impossible à détourner autrement un bien juridique lui appartenant ou appartenant à un tiers agit de manière licite s’il sauvegarde ainsi des intérêts prépondérants. Aux termes de l'art. 18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Le Code pénal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(TF 6B_720/2007 du 29 mars 2008, c. 5.1.1). Il suppose donc l'existence d'un danger imminent qui ne peut être détourné autrement. La subsidiarité est absolue. Elle constitue une condition à laquelle aucune exception ne peut être faite (TF 6B_176/2010 du 31 mai 2010, c. 2.1; TF 6S.529/2006 du 8 février 2007 c. 4; Seelmann, Basler Kommentar, Strafrecht I, 2 e éd., Bâle 2007, n. 7 ad art. 17 et n.</w:t>
      </w:r>
    </w:p>
    <w:p>
      <w:r>
        <w:rPr>
          <w:b/>
        </w:rPr>
        <w:t>E. 2.2</w:t>
      </w:r>
    </w:p>
    <w:p>
      <w:r>
        <w:t>Le premier juge a retenu que la version de l'appelant selon laquelle il aurait paniqué en voyant U.________ opérer un tourner sur route, se sentant menacé et séquestré, n’était pas crédible. D’une part, la responsabilité du litige au sujet du paiement de la course lui incombait, dès lors qu’il avait commandé un taxi sans en avoir les moyens. Il savait en outre quelle était l’intention du chauffeur puisqu’il a déclaré que ce dernier lui avait indiqué vouloir l’emmener auprès de la police afin de régler ce litige (audition du 20 octobre 2011, ligne 43-44; jgt. p. 4). On ne voit pas bien, dans ces circonstances, que le prévenu ait pu se sentir menacé au point de devoir descendre du véhicule en marche. D’autre part, l'appelant ne pouvait penser que U.________, âgé de 68 ans au moment des faits, ait réellement pu représenter une menace pour lui (jgt., p. 13). Cette analyse ne prête pas le flanc à la critique. Même si la réaction de U.________ était inappropriée, on ne saurait admettre une atteinte à la liberté de l'appelant compte tenu du délai écoulé entre le moment où ce dernier a manifesté son souhait de quitter le véhicule et le moment où il a ouvert la portière, le véhicule ne pouvant s'arrêter immédiatement pour laisser le client sortir. Par ailleurs, au cours de la soirée, le chauffeur de taxi a, à la demande de l'appelant et de son ami N.________, laissé monter puis sortir une prostituée du véhicule; il a également laissé sortir N.________ lorsque ce dernier le lui a demandé. L'appelant a indiqué avoir voulu préserver sa sécurité. Pourtant, il savait qu'il allait être mené à un poste de police. Partant, il n'était pas dans une situation de danger imminent et impossible à détourner autrement et il n'avait pas d'intérêt prépondérant à sauvegarder par rapport à la sécurité des usagers de la route. De plus, le chauffeur de taxi, qui pouvait à juste titre penser que ce client ne paierait pas sa course, a agi uniquement pour garantir l'intervention des policiers et s'assurer que le client s'acquitterait de son dû (cf. art. 218 CPP). Dans ces conditions, on ne saurait retenir un état de nécessité.</w:t>
      </w:r>
    </w:p>
    <w:p>
      <w:r>
        <w:rPr>
          <w:b/>
        </w:rPr>
        <w:t>E. 3</w:t>
      </w:r>
    </w:p>
    <w:p>
      <w:r>
        <w:t>L'appelant conteste sa condamnation pour violation grave des règles de la circulation routière.</w:t>
      </w:r>
    </w:p>
    <w:p>
      <w:r>
        <w:rPr>
          <w:b/>
        </w:rPr>
        <w:t>E. 3.1</w:t>
      </w:r>
    </w:p>
    <w:p>
      <w:r>
        <w:t>Aux termes de l'art. 31 al. 3 LCR (Loi fédérale du 19 décembre 1958 sur la circulation routière ; RS 741.01), le conducteur doit veiller à ne pas être gêné ni par le chargement, ni d'aucune autre manière. Les passagers sont tenus de ne pas le gêner ni le déranger. L'art. 60 al. 5 OCR (Ordonnance du 13 novembre 1962 sur les règles de la circulation routière; RS 741.11) prévoit que lorsqu'un véhicule automobile est en marche, il est interdit d'y monter, d'en descendre ou de se pencher au-dehors. Il ressort de l'art. 90 LCR que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dire si une violation d'une règle de la circulation doit être qualifiée de grave, il faut procéder à une appréciation aussi bien objective que subjective. Du point de vue objectif, l'auteur doit avoir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Subjectivement, l'état de fait de l'art. 90 ch. 2 LCR exige, selon la jurisprudence, un comportement sans scrupules ou gravement contraire aux règles de la circulation, c'est-à-dire une faute grave et, en cas d'acte commis par négligence, à tout le moins une négligence grossière. Celle-ci doit être admis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un tel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(ATF 131 IV 133 c. 3.2). Le cercle des auteurs possibles d'une infraction au sens de l'art. 90 LCR est extrêmement large; l'art. 90 LCR incrimine celui qui a violé une règle de la circulation, les qualités particulières de l'auteur étant alors définies dans ladite règle de circulation. Ainsi, ce sont tous les usagers de la route qui peuvent être auteurs d'une violation des règles de la circulation sanctionnées par l'art. 90 LCR, à savoir tous ceux qui, de près ou de loin, sont les acteurs de la voie publique et qui sont soumis à des règles de comportement figurant dans la législation routière. Il s'agit notamment des passagers (cf. Jeanneret, Les dispositions pénales de la LCR, Berne 2007, pp. 38 et 39). L'art. 90 LCR ne sanctionne pas la violation de n'importe quelle règle prescrite dans le droit de la circulation routière. Selon le texte claire de la loi, il doit s'agir d'une règle de circulation et non, simplement, d'une prescription du droit routier en général. Les règles de la circulation sont celles qui régissent avant tout la façon dont les véhicules et les usagers doivent se mouvoir ou se comporter les uns par rapport aux autres ou par rapport aux conditions de la route et de la situation générale environnante (cf. Jeanneret, ibidem , p. 40; ATF 103 IV 192 c. 2c).</w:t>
      </w:r>
    </w:p>
    <w:p>
      <w:r>
        <w:rPr>
          <w:b/>
        </w:rPr>
        <w:t>E. 3.2</w:t>
      </w:r>
    </w:p>
    <w:p>
      <w:r>
        <w:t>Avec le premier juge, on doit retenir qu'en ouvrant la portière du véhicule qui roulait, selon le disque d'enregistrement du tachygraphe du taxi (P. 11 et 22/2), à une vitesse avoisinant les 60 km/h, l'appelant a violé l'art. 60 al. 5 OCR en relation avec l'art. 90 ch. 2 LCR. En effet, le fait d'ouvrir la portière d'un véhicule en marche constitue une violation grave des règles de la circulation. L'interdiction de descendre d'un véhicule en marche est une règle fondamentale de la circulation, dont la violation entraîne une mise en danger considérable de la sécurité routière. Le comportement reproché à l'appelant était de nature à créer concrètement un risque d'accident important et ce non seulement pour la voiture concernée, mais également pour les autres usagers de la route suivant le véhicule en question. Ce comportement s'avère dès lors objectivement grave. Du point de vue subjectif, le comportement de l'appelant dénote un manque d'égards pour autrui. Il s'agit donc objectivement et subjectivement d'une violation grave de la circulation. La condamnation de l'appelant pour ce chef d'inculpation ne viole pas le droit fédéral et doit être confirmée.</w:t>
      </w:r>
    </w:p>
    <w:p>
      <w:r>
        <w:rPr>
          <w:b/>
        </w:rPr>
        <w:t>E. 4</w:t>
      </w:r>
    </w:p>
    <w:p>
      <w:r>
        <w:t>L'appelant conteste sa condamnation pour violation des devoirs en cas d'accident.</w:t>
      </w:r>
    </w:p>
    <w:p>
      <w:r>
        <w:rPr>
          <w:b/>
        </w:rPr>
        <w:t>E. 4.1</w:t>
      </w:r>
    </w:p>
    <w:p>
      <w:r>
        <w:t>L'art. 92 ch. 1 LCR dispose que celui qui viole, lors d’un accident, les obligations que lui impose la loi sur la circulation routière, sera puni de l’amende. Aux termes de l'art. 51 LCR, 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Cette disposition définit les devoirs généraux qui s'adressent aux personnes impliquées dans un accident, quelques qu'en soient les conséquences. Il convient en premier lieu de définir ce qu'est une personne impliquée, puisque c'est à elle, en principe, qu'incomberont, entre autres, ces devoirs généraux. Est impliquée dans un accident celui qui, d'une quelconque manière, directement ou indirectement, a participé à la survenance de l'accident, indépendamment du fait de savoir s'il supporte une responsabilité ou s'il en est la cause. Plus généralement, sont impliqués tous ceux dont l'attitude peut avoir une influence dans la survenance et donc quant à l'explication de l'accident. Ainsi, doit être considéré comme une personne impliquée le passager lorsque son comportement a provoqué l'accident ou lorsque son influence sur la conduite du véhicule est telle qu'il peut être assimilé à un conducteur. A l'exception de ces cas, le passager n'est en principe pas une personne impliquée (cf. Jeanneret, ibidem , p. 156). En cas d'accident, la personne impliquée telle que définie ci-dessus a le devoir de s'arrêter et d'assurer la sécurité. L'immédiateté de l'avis requis par l'art. 51 al. 3 LCR doit être interprétée de manière stricte. Celui-ci doit être donné aussi rapidement que les circonstances le permettent. L'auteur ne peut différer l'avis pour des questions de convenance personnelle ou pour ne pas déranger de nuit le lésé (AF 92 IV 22 c. 2; TF 6S.8/2003 du 19 mars 2003, consid. 2; TF 6S.281/2004 du 10 février 2004, consid. 1.2.1). Si celui-ci n'est pas présent sur les lieux et qu'il ne peut être avisé immédiatement, parce qu'il n'est pas connu ou qu'il n'est pas atteignable, l'auteur de l'accident devra aviser la police. En principe, les devoirs spécifiques prévus à l'art. 51 al. 3 LCR incombent à l'auteur du dommage et non aux personnes impliquées. L'auteur du dommage est celui dont le comportement est, même partiellement, à l'origine de l'une des causes de l'accident, indépendamment de toute faute et même s'il subit personnellement un dommage du fait de l'accident. A l'opposé, celui qu n'a exercé aucune influence sur le déroulement de l'accident, comme le simple passager, n'est pas l'auteur du dommage et, partant, n'est pas débiteur des devoirs spécifiques décrits à l'art. 51 al. 3 LCR (TF 6S.8/2003 du 19 mars 2003 consid. 2; Jeanneret, ibidem, p. 176; Weissenberger, Jahrbuch 2003, p. 356).</w:t>
      </w:r>
    </w:p>
    <w:p>
      <w:r>
        <w:rPr>
          <w:b/>
        </w:rPr>
        <w:t>E. 4.2</w:t>
      </w:r>
    </w:p>
    <w:p>
      <w:r>
        <w:t>L'appelant a bel et bien violé les devoirs que lui imposait l'art. 92 ch. 1 LCR. En effet, d'une part, au regard du déroulement des événements tels qu'exposés ci-dessus (cf. chiffre 2 ci-dessus), il est clair que l'appelant est l'auteur d'un dommage, son comportement étant dans tous les cas l'une des causes de l'accident. D'autre part, il est parti immédiatement après l'accident sans indiquer son nom et son adresse aux divers lésés, à savoir le chauffeur de taxi et la Ville de Lausanne, propriétaire des installations endommagées.</w:t>
      </w:r>
    </w:p>
    <w:p>
      <w:r>
        <w:rPr>
          <w:b/>
        </w:rPr>
        <w:t>E. 5</w:t>
      </w:r>
    </w:p>
    <w:p>
      <w:r>
        <w:t>L'appelant requiert le prononcé d'une peine plus clémente, assortie du sursis.</w:t>
      </w:r>
    </w:p>
    <w:p>
      <w:r>
        <w:rPr>
          <w:b/>
        </w:rPr>
        <w:t>E. 5.1</w:t>
      </w:r>
    </w:p>
    <w:p>
      <w:r>
        <w:t>a) L'art. 34 CP dispose notamment que sauf disposition contraire de la loi, la peine pécuniaire ne peut excéder 360 jours-amende. Le juge fixe leur nombre en fonction de la culpabilité de l’auteur.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obligatoires ou encore des frais nécessaires à l'acquisition du revenu. La loi mentionne aussi spécialement d'éventuelles obligations d'assistance, familiales en particulier. La raison en est que les membres de la famille ne doivent, autant que possible, pas être affectés par la restriction apportée au train de vie. Le revenu net doit être amputé des montants dus à titre d'entretien ou d'assistance, pour autant que le condamné s'en acquitte effectivement. Le tribunal peut, dans une large mesure, se référer aux principes du droit de la famille en ce qui concerne le calcul de ces montants (ATF 134 IV 60 c. 6; TF 6B_845 du 11 janvier 2010 consid. 1, publié dans la SJ 2010 I 205).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ATF 129 IV 6; TF 6B_759/2011; TF 6B_335/2012).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ATF 134 IV 17 précité; ATF 129 IV 6 précité).</w:t>
      </w:r>
    </w:p>
    <w:p>
      <w:r>
        <w:rPr>
          <w:b/>
        </w:rPr>
        <w:t>E. 5.2</w:t>
      </w:r>
    </w:p>
    <w:p>
      <w:r>
        <w:t>S'agissant de la quotité de la peine, l'argumentation de l'appelant repose exclusivement sur la prémisse qu'il sera libéré des infractions de violation grave des règles de la circulation routière et de violation des devoirs en cas d'accident. Cette critique est vaine, les condamnations étant confirmées. Par ailleurs, au regard de la culpabilité de l'appelant, la peine prononcée ne prête pas le flanc à la critique. Il en va de même de la quotité du jour-amende compte tenu des revenus réalisés, de la fortune et du train de vie de l'intéressé. Enfin, l'appelant a déjà été condamné à deux reprises pour des violations graves des règles de la circulation routière, respectivement en mars 2006 et en mai 2010. Entre novembre 2005 et juillet 2010, il a en outre fait l'objet de trois retraits du permis de conduire, pour des périodes allant de un à douze mois. Il n'a aucunement pris conscience de la gravité de ses actes. Partant, seul un pronostic défavorable peut être posé et le sursis ne saurait être accordé.</w:t>
      </w:r>
    </w:p>
    <w:p>
      <w:r>
        <w:rPr>
          <w:b/>
        </w:rPr>
        <w:t>E. 6</w:t>
      </w:r>
    </w:p>
    <w:p>
      <w:r>
        <w:t>L'appelant conteste la révocation du sursis accordé le 10 mai 2010 par le Tribunal de police de l'arrondissement de l'Est vaudois.</w:t>
      </w:r>
    </w:p>
    <w:p>
      <w:r>
        <w:rPr>
          <w:b/>
        </w:rPr>
        <w:t>E. 6.1</w:t>
      </w:r>
    </w:p>
    <w:p>
      <w:r>
        <w:t>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S'il n'y a pas lieu de prévoir que le condamné commettra de nouvelles infractions, le juge renonce à ordonner la révocation. Il peut adresser au condamné un avertissement et prolonger le délai d'épreuve de la moitié au plus de la durée fixée dans le jugement.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(ATF 134 IV 140 c. 4.3).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L'inverse est également admissible: si le sursis précédent est révoqué, l'exécution de la peine qui en était assortie peut conduire à nier l'existence d'un pronostic défavorable pour la nouvelle peine et, partant, à assortir cette dernière du sursis (ATF 134 IV 140 c.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sur ce point, de manière à ce que l'intéressé puisse au besoin la contester utilement et l'autorité de recours exercer son contrôle (TF 6B_855/2010 du 7 avril 2011, consid. 2.2).</w:t>
      </w:r>
    </w:p>
    <w:p>
      <w:r>
        <w:rPr>
          <w:b/>
        </w:rPr>
        <w:t>E. 6.2</w:t>
      </w:r>
    </w:p>
    <w:p>
      <w:r>
        <w:t>En l'espèce, l'effet dissuasif de la nouvelle peine pécuniaire n'est pas suffisant pour renoncer à révoquer le sursis octroyé à l'appelant le 10 mai 2010. En effet, les trois retraits de permis montrent une insensibilité à la sanction et l'attitude de l'appelant dans la procédure est empreinte de mauvaise foi. Sa banalisation et sa négation des faits reprochés démontrent une absence totale de prise de conscience, le pronostic étant entièrement défavorable. Seul le prononcé d'une peine ferme et la révocation du sursis permettront de faire comprendre à l'appelant qu'aucune récidive en matière de circulation routière ne sera tolérée.</w:t>
      </w:r>
    </w:p>
    <w:p>
      <w:r>
        <w:rPr>
          <w:b/>
        </w:rPr>
        <w:t>E. 7</w:t>
      </w:r>
    </w:p>
    <w:p>
      <w:r>
        <w:t>En définitive, l'appel de S.________ est rejeté et le jugement rendu le 22 novembre 2012 par le Tribunal de police de l'arrondissement de Lausanne est intégralement confirmé. Vu l'issue de la cause, les frais de la procédure d'appel, par 2'240 fr. (art. 422 CPP; art. 21 al. 1 et 2 TFJP [Tarif des frais judiciaires pénaux du 28 septembre 2010, RSV 312.03.1]), doivent être mis à la charge de S.________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