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67 vom 12. November 2012</w:t>
      </w:r>
    </w:p>
    <w:p>
      <w:r>
        <w:t>VD Tribunal cantonal, 2012-11-12, FR</w:t>
      </w:r>
    </w:p>
    <w:p>
      <w:r>
        <w:rPr>
          <w:b/>
        </w:rPr>
        <w:t xml:space="preserve">Quelle: </w:t>
      </w:r>
      <w:r>
        <w:t>https://mcp.opencaselaw.ch/entscheid/vd_findinfo_Jug___2013___67</w:t>
      </w:r>
    </w:p>
    <w:p>
      <w:r>
        <w:t>FR: VD_FINDINFO Jug / 2013 / 67 du 12 novembre 2012</w:t>
      </w:r>
    </w:p>
    <w:p>
      <w:r>
        <w:t>IT: VD_FINDINFO Jug / 2013 / 67 del 12 novembre 2012</w:t>
      </w:r>
    </w:p>
    <w:p>
      <w:pPr>
        <w:pStyle w:val="Heading2"/>
      </w:pPr>
      <w:r>
        <w:t>Regeste</w:t>
      </w:r>
    </w:p>
    <w:p>
      <w:r>
        <w:t>LÉSION CORPORELLE, AGRESSION, PEINE PRIVATIVE DE LIBERTÉ, CONSTATATION DES FAITS, FIXATION DE LA PEINE | 123 CP, 134 CP, 40 CP, 49 al. 1 CP, 49 al. 2 CP</w:t>
      </w:r>
    </w:p>
    <w:p>
      <w:pPr>
        <w:pStyle w:val="Heading2"/>
      </w:pPr>
      <w:r>
        <w:t>Erwägungen</w:t>
      </w:r>
    </w:p>
    <w:p>
      <w:r>
        <w:rPr>
          <w:b/>
        </w:rPr>
        <w:t>E. 1</w:t>
      </w:r>
    </w:p>
    <w:p>
      <w:r>
        <w:t>A.Z.________, né le 6 septembre 1989, à Kirkuk en Irak, pays dont il est ressortissant, est le cadet d’une fratrie de trois enfants. Il a émigré en Suisse avec sa famille à l’âge de huit ans. Il a suivi sa scolarité obligatoire jusqu’à l’âge de quinze ans. Il a débuté en septembre 2012 un apprentissage de plâtrier-peintre. Son salaire est de 480 fr. par mois. Il n’a pas de dette. Célibataire, il n’a personne à sa charge. Il vit toujours chez ses parents. Il est au bénéfice d’un permis de séjour de type « F ». A.Z.________ a fait l'objet de quatre condamnations, à savoir : le 2 février 2006, par le Tribunal des mineurs de Lausanne, pour agression à 20 jours de détention, le 28 septembre 2006, par le Tribunal des mineurs de Lausanne, pour agression, dommages à la propriété à 45 jours de détention, le 12 décembre 2008, par le Juge d'instruction de Lausanne, pour violation grave des règles de la circulation routière, conducteur se trouvant dans l’incapacité de conduire, opposition ou dérobade aux mesures visant à déterminer l’incapacité de conduire, violation des devoirs en cas d’accident à une peine pécuniaire de 30 jours-amende à 50 fr., avec sursis pendant 3 ans et à une amende de 750 fr., et le 19 décembre 2011, par le Tribunal correctionnel de l'arrondissement de Lausanne pour rixe, à 11 mois de peine privative de liberté, peine complémentaire à la précédente, peine confirmée par jugement du 30 mai 2012 de la Cour d'appel pénale. En outre, deux enquêtes sont actuellement pendantes contre le prévenu, l’une pour faux témoignage et l’autre pour entrave à l’action pénale, d’où une détention provisoire du 4 au 29 août 2012.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Bâle 2011, n. 1 ad art. 398 CPP). L’immédiateté des preuves ne s’impose toutefois pas en instance d’appel. Selon l’art. 389 al. 1 CPP, la procédure d’appel se fonde sur les preuves administrées pendant la procédure préliminaire et la procédure de première instance (TF 6B_78/2012 du 27 août 2012 c. 3.1).</w:t>
      </w:r>
    </w:p>
    <w:p>
      <w:r>
        <w:rPr>
          <w:b/>
        </w:rPr>
        <w:t>E. 3</w:t>
      </w:r>
    </w:p>
    <w:p>
      <w:r>
        <w:t>A.Z.________ considère que l'état de fait retenu par le premier juge est erroné et que ce dernier a procédé à une appréciation arbitraire des éléments du dossier pour conclure à sa culpabilité. Il conteste avoir été présent le jour de l'altercation et soutient que le dossier ne démontre aucune participation à l'événement du 28 février 2009.</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w:t>
      </w:r>
    </w:p>
    <w:p>
      <w:r>
        <w:t>La présomption d'innocence, qui est garantie par l'art.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3.2.1</w:t>
      </w:r>
    </w:p>
    <w:p>
      <w:r>
        <w:t>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3.3</w:t>
      </w:r>
    </w:p>
    <w:p>
      <w:r>
        <w:t>En l'occurrence, le Tribunal de police a retenu que le tabassage de G.________ consistait en un acte de vengeance perpétré par A.Z.________ à la suite de la rixe survenue le 8 novembre 2008, soit trois mois et demi avant la présente affaire. Il a considéré qu'une fois à l'extérieur de l'établissement, G.________ avait rapidement été mis à terre et roué de coups de pied au visage. Au vu des nombreux témoignages, il a considéré qu'A.Z.________ était présent le soir en question puisque vu par un membre de la sécurité à qui il avait dit avoir reconnu un des agresseurs de son frère dans l'établissement. S'agissant de savoir si A.Z.________ avait participé à l'agression, le premier juge a constaté que G.________ a été frappé avec une sauvagerie inouïe par une série de voyous qui demeureront pour la plupart inconnus, mais au nombre desquels figure A.Z.________. Selon le premier juge, A.Z.________ s'est rendu coupable d'agression et de lésions corporelles simples. Au bénéfice du doute, le premier juge n'a pas retenu qu'A.Z.________ était la personne qui avait sprayé G.________ à l'intérieur de la discothèque. La Cour de céans reprend à son compte l'analyse du premier juge. En premier lieu, il convient de constater que l’agression elle-même et les lésions corporelles sont avérées. Les photos prises lors de l'arrivée des forces de l'ordre sur les lieux démontrent l'ampleur des blessures subies par G.________ au visage (P. 6/2 et 9/2). Le rapport médical du 2 mars 2009 est clair sur la gravité des lésions subies par le plaignant (P. 9/1). Ce dernier a dû être emmené en ambulance au Centre interdisciplinaire des Urgences au CHUV. Il présentait de multiples contusions de la face avec plaie de la paupière supérieure droite, plaie de la pommette droite, plaie frontale droite, hématome des lèvres, hématome conjonctival de l'œil droit et fracture des deux incisives supérieures droites. La seule question factuelle qu’il convient encore de résoudre est celle de savoir si l’appelant était présent ce soir là et s’il a ou non participé à cette agression. On constate à cet égard que C.________ a clairement mis en cause l’appelant, à deux reprises à deux ans d’intervalle, tant sur la base de son prénom qu’en le reconnaissant formellement sur photographie (PV aud. 7, R 5; PV aud. 21, R 4 et 5); au vu de la clarté de ces déclarations, il n’est pas déterminant que C.________ se soit en partie rétracté lors de l'audition de confrontation du 25 octobre 2011 (PV aud. 23, ll. 52 à 54) et à l’audience de jugement; cette rétractation s'explique par sa peur de représailles de la part du prévenu, mentionnée lors de la première audition déjà. C.________ ayant lui-même été mis en cause par le plaignant pour des faits distincts survenus le même soir à l’intérieur de la discothèque, on ne voit pas quel intérêt il aurait à charger indûment l’appelant pour servir la cause du plaignant. A l'audience d'appel, l'appelant a soutenu que du fait de son poids et de sa taille, C.________ ne pouvait pas craindre des représailles de sa part. A cet égard, il perd de vue les méthodes d'agression utilisées, notamment la bande, dans lesquelles la différence de taille et de poids n'a pas d'incidence. V.________, à qui aucune photo n’a été soumise, a vu une personne de sexe masculin, qui ne faisait pas partie de la sécurité, de type arabe ou turc, arriver en courant vers la victime et lui donner de très violents coups de pied avec la pointe des chaussures dans la figure, d’une façon telle que le témoin a considéré que cela avait été prémédité (PV aud. 2, R 3 et R 5). Le patron de la discothèque, J.________, lui aussi très inquiet des représailles pouvant résulter de ses propos, s’est vu rapporter par un autre membre de la sécurité – dont il a préféré taire le nom – que l’agresseur principal était un certain A.Z.________, frère d’un "B.Z.________" qui s’était fait frapper par un groupe de personnes originaires d'Amérique latine quelques mois auparavant, et qu'il s'agissait d'un acte de vengeance (PV aud. 5, R 3). De plus, H.________, membre du service de sécurité, a expliqué à la police avoir vu A.Z.________ le soir en question vers 1h30 et 2h. Celui-ci lui aurait dit avoir vu, à l'intérieur de la boîte de nuit, un des auteurs de l'agression de son frère. Après l'agression B.________ aurait dit à H.________ qu'A.Z.________ avait frappé la victime (PV aud. 4, R 6). Il est vrai que B.________ conteste avoir tenu les propos que l’on vient de mentionner. Cependant, vu l’ambiguïté, d’ailleurs relevée par les premiers juges, de l’ensemble de ses déclarations, ces dénégations doivent être appréhendées avec réserve. En effet, B.________ a en substance expliqué qu'il n’avait pas vu A.Z.________ frapper, qu'il est possible qu'il l’ait vu sur les lieux le soir en question, mais ce n’était pas parce qu'il l’avait vu que le prévenu avait frappé. Ces tergiversations doivent être prises avec d'autant plus de réserve que B.________ a été parallèlement impliqué dans une autre affaire d’agression survenue au T.________ deux mois auparavant, ainsi que dans une autre affaire d’agression survenue en septembre 2010, deux affaires ensuite desquelles il a été condamné en mars 2011 à une peine privative de liberté ferme de 2 ans et demi (P. 92). Enfin, il faut rappeler que le prévenu, déjà condamné dans le passé pour d’autres agressions, avait un sérieux motif de s’en prendre au plaignant, à savoir les graves blessures subies par son frère quelques mois auparavant dans le cadre d’une rixe à laquelle le plaignant avait participé. La vengeance est d'ailleurs attestée par témoins (PV aud. 5 et 17, R 6). Au vu de l’ensemble de ces éléments, la culpabilité d'A.Z.________ ne fait aucun doute. Le prévenu était bien présent ce soir là et a participé à titre principal à l'agression de G.________. Il n’est pas décisif que la victime n’ait reconnu l’appelant qu’avec un degré de certitude limité à 60%, celle-ci étant à terre et ayant reçu du spray au poivre dans les yeux ce qui l'avait aveuglé.</w:t>
      </w:r>
    </w:p>
    <w:p>
      <w:r>
        <w:rPr>
          <w:b/>
        </w:rPr>
        <w:t>E. 4</w:t>
      </w:r>
    </w:p>
    <w:p>
      <w:r>
        <w:t>Le premier juge a condamné l'appelant pour agression et lésions corporelles simples.</w:t>
      </w:r>
    </w:p>
    <w:p>
      <w:r>
        <w:rPr>
          <w:b/>
        </w:rPr>
        <w:t>E. 4.1</w:t>
      </w:r>
    </w:p>
    <w:p>
      <w:r>
        <w:t>Aux termes de l'art. 134 CP, celui qui aura participé à une agression dirigées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118 IV 227 c. 5b).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 2.1.1; ATF 134 IV 189 c. 1.1). Aux termes de l'art. 123 CP, celui qui, intentionnellement, aura fait subir à une personne une autre attente à l'intégrité corporelle ou à la santé sera, sur plainte, punie d'une peine privative de liberté de trois ans au plus ou d'une peine pécuniaire (ch. 1). Le Tribunal fédéral a reconnu que s'il peut être établi que l'un des agresseurs, intentionnellement ou par négligence, cause la mort ou des lésions corporelles, l'infraction d'homicide au sens des art. 111 ss CP ou de lésions corporelles visées aux art. 122 ss CP absorbe, en ce qui le concerne, l'agression au sens de l'art. 134 CP (ATF 118 IV 227 c. 5b; TF 6P.41/2006 du 12 mai 2006, c. 7.3.1). En effet, les infractions d'homicide et de lésions corporelles saisissent et répriment déjà la mise en danger effective de la personne tuée ou blessée lors de l'agression. Dès lors, le concours entre l'art. 134 CP et les art. 111 ss CP ou 122 ss CP n'est envisageable que si, ensuite d'une agression, une personne déterminée autre que celle qui a été tuée ou blessée a été effectivement mise en danger (ATF 118 IV 227 c. 5b). Le concours peut également être envisagé lorsque la personne, qui a été blessée lors de l'agression, n'a subi que des lésions corporelles simples, mais que la mise en danger a dépassé en intensité le résultat intervenu (ATF 135 IV 152 c. 2.1.2 et les références citées).</w:t>
      </w:r>
    </w:p>
    <w:p>
      <w:r>
        <w:rPr>
          <w:b/>
        </w:rPr>
        <w:t>E. 4.2</w:t>
      </w:r>
    </w:p>
    <w:p>
      <w:r>
        <w:t>En l'occurrence, l'appréciation du tribunal peut être suivie. En effet, comme mentionné ci-dessus (c. 3.3), G.________ a subi de nombreuses lésions au visage notamment. Si, dans le cas particulier, le plaignant n'a subi que des lésions corporelles simples, la mise en danger créée par les coups qui lui ont été portés a, de manière évidente, dépassé en intensité le résultat intervenu. En effet, le fait d'asséner, en bande, de multiples coups à la tête d'une personne qui ne se défend pas et gît à terre et de frapper plus particulièrement le visage avec la pointe des chaussures est propre à causer des lésions corporelles graves, voire à créer un danger vital. L'ampleur des lésions constatées par l'institut de médecine légale ainsi que l'incapacité de travail de trois semaines en attestent la violence et la gravité. Dans ces conditions et au regard de la jurisprudence exposée, l'infraction d'agression au sens de l'art. 134 CP s'applique en concours avec celle de lésions corporelles simples. C'est donc à juste titre que l'appelant a été condamné à la fois pour agression et pour lésions corporelles.</w:t>
      </w:r>
    </w:p>
    <w:p>
      <w:r>
        <w:rPr>
          <w:b/>
        </w:rPr>
        <w:t>E. 4.3</w:t>
      </w:r>
    </w:p>
    <w:p>
      <w:r>
        <w:t>L'appelant conteste également l'élément subjectif de l'infraction et soutient n'avoir jamais eu l'intention de causer des lésions corporelles. Dite intention résulte pourtant manifestement des faits retenus plus haut. En effet, des coups de pied donnés dans le visage avec la pointe des chaussures sont précisément destinés à causer des lésions corporelles. En outre, s'agissant d'un règlement de compte, le but était bien de blesser le plaignant pour se venger des blessures qu'il avait causées au frère de l'appelant. Ce grief doit donc être rejeté.</w:t>
      </w:r>
    </w:p>
    <w:p>
      <w:r>
        <w:rPr>
          <w:b/>
        </w:rPr>
        <w:t>E. 5</w:t>
      </w:r>
    </w:p>
    <w:p>
      <w:r>
        <w:t>L'appelant se plaint du fait que les autres protagonistes de l'agression ont tous été acquittés. Il invoque ainsi une inégalité de traitement. Cette affirmation est fallacieuse. En effet, C.________ et B.________ ont été reconnus comme étant les auteurs des voies de fait perpétrées à l'intérieur de la discothèque. Ils ont toutefois été acquittés du seul fait que la prescription avait été acquise. Enfin, si les autres participants à l'agression du plaignant à l'extérieur de l'établissement n'ont pas été condamnés, c'est uniquement parce qu'ils n'ont pas été identifiés. Partant, ce grief doit être rejeté.</w:t>
      </w:r>
    </w:p>
    <w:p>
      <w:r>
        <w:rPr>
          <w:b/>
        </w:rPr>
        <w:t>E. 6</w:t>
      </w:r>
    </w:p>
    <w:p>
      <w:r>
        <w:t>L'appelant conteste la quotité de la peine.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S'agissant du comportement de l'auteur postérieurement à l'acte, cet élément doit être pris en considération lors de la fixation de la peine, pour autant qu'il permette des déductions sur l'intéressé et son attitude par rapport à ses actes (arrêt 6B_335/2012 du 13 août 2012 c. 1.4.2 et les arrêts cités).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6.2</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l’article 42 al. 2 CP que le sursis total est exclu sauf circonstances particulièrement favorables si, durant les cinq ans qui ont précédé l’infraction, l’auteur a été condamné, notamment, à une peine pécuniaire de 180 jours-amende au moins. Aux termes de l'article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w:t>
      </w:r>
    </w:p>
    <w:p>
      <w:r>
        <w:rPr>
          <w:b/>
        </w:rPr>
        <w:t>E. 6.3</w:t>
      </w:r>
    </w:p>
    <w:p>
      <w:r>
        <w:t>En l'espèce, A.Z.________ a été condamné par jugement du 19 décembre 2011 par le Tribunal correctionnel de l'arrondissement de Lausanne, confirmé le 30 mai 2012 par la Cour d'appel pénale, à une peine privative de liberté de 11 mois complémentaire à celle de 30 jours infligée le 12 décembre 2008. Les juges avaient exposé qu’ils auraient condamné A.Z.________ à une peine de 12 mois s’ils avaient eu à juger simultanément des infractions commises le 12 décembre 2008 et des infractions précédentes, raison pour laquelle ils ont prononcé une peine complémentaire privative de liberté ferme de 11 mois. Les faits objets de la présente procédure s'étant déroulés le 28 février 2009, la peine à infliger est complémentaire à celle infligée alors. La culpabilité d'A.Z.________ est lourde. Celui-ci s'est rendu coupable de lésions corporelles simples et d'agression. A charge, il convient de tenir compte du fait que l’agression a été préméditée, qu’elle a été exécutée dans un contexte de vengeance et qu’elle l’a été par l’appelant d’une façon particulièrement indigne et cruelle en donnant des coups de pied avec ses pointes de chaussures dans le visage de la victime à terre. Loin de justifier les agissements de l’appelant, les blessures subies par son frère trois mois auparavant dans le cadre d’une rixe auraient plutôt dû rendre le prévenu attentif à la gravité des blessures susceptibles de résulter de ce type de bagarre. A charge, doit également être pris en compte le fait que le prévenu a déjà fait l'objet de deux condamnations pour agression par le Tribunal des mineurs en 2006, sans parler de sa condamnation du 19 décembre 2011 pour rixe. Enfin, l'attitude de l’appelant consistant systématiquement à nier les faits et à rejeter la responsabilité sur des tiers démontre une absence totale de prise de conscience. Aucun élément ne peut être retenu à décharge. Au vu de ce qui précède, si la Cour de céans avait dû connaître de l'ensemble de l'activité délictueuse d'A.Z.________, elle l'aurait condamné à une peine de 18 mois de peine privative de liberté. Ainsi, la peine complémentaire de 6 mois, telle que retenue par le premier juge, pour les faits objets de la présente procédure, se justifie. Le pronostic tout à fait défavorable posé par les premiers juges doit être confirmé. En effet, le prévenu en est à sa cinquième confrontation avec la justice en quelques années, son comportement en cours d'enquête et devant le premier juge démontre qu'il n'a vraisemblablement pas pris conscience de la gravité de ses actes; Il persiste à nier les faits et à rejeter la responsabilité sur les tiers. Ainsi, les conditions d'octroi du sursis ne sont manifestement pas réalisées. Au surplus, le fait que l’appelant envisage de se marier n’est pas de nature à renverser le pronostic très défavorable. Les griefs formulés sur ce point, mal fondés, doivent être rejetés.</w:t>
      </w:r>
    </w:p>
    <w:p>
      <w:r>
        <w:rPr>
          <w:b/>
        </w:rPr>
        <w:t>E. 7</w:t>
      </w:r>
    </w:p>
    <w:p>
      <w:r>
        <w:t>L’appelant conteste encore la répartition des frais et dépens de première instance. Alors que la culpabilité de l'appelant est écrasante et que les autres prévenus ont été acquittés, le premier juge a divisé en trois les frais communs et les dépens. Cette répartition n’est en tout cas pas préjudiciable à l’appelant et l’appel doit être rejeté sur ce point.</w:t>
      </w:r>
    </w:p>
    <w:p>
      <w:r>
        <w:rPr>
          <w:b/>
        </w:rPr>
        <w:t>E. 8</w:t>
      </w:r>
    </w:p>
    <w:p>
      <w:r>
        <w:t>En définitive, l’appel doit être rejeté et le jugement de première instance intégralement confirmé. Vu l'issue de la cause, les frais d'appel, par 2'160 fr. (art. 21 al. 1 et 2 TFJP [Tarif des frais judiciaires pénaux du 28 septembre 2010, RSV 312.03.1]), ainsi que l'indemnité allouée au conseil d'office de G.________, seront mis à la charge d'A.Z.________. L'indemnité due à Me Marcel Paris sera arrêtée à 810 fr., TVA et débours compris, selon liste des opérations produite à cet effet par celui-ci. A.Z.________ ne sera tenu de rembourser à l’Etat l'indemnité allouée à Me Marcel Paris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