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46 vom 24. Oktober 2012</w:t>
      </w:r>
    </w:p>
    <w:p>
      <w:r>
        <w:t>VD Tribunal cantonal, 2012-10-24, FR</w:t>
      </w:r>
    </w:p>
    <w:p>
      <w:r>
        <w:rPr>
          <w:b/>
        </w:rPr>
        <w:t xml:space="preserve">Quelle: </w:t>
      </w:r>
      <w:r>
        <w:t>https://mcp.opencaselaw.ch/entscheid/vd_findinfo_Jug___2013___46</w:t>
      </w:r>
    </w:p>
    <w:p>
      <w:r>
        <w:t>FR: VD_FINDINFO Jug / 2013 / 46 du 24 octobre 2012</w:t>
      </w:r>
    </w:p>
    <w:p>
      <w:r>
        <w:t>IT: VD_FINDINFO Jug / 2013 / 46 del 24 ottobre 2012</w:t>
      </w:r>
    </w:p>
    <w:p>
      <w:pPr>
        <w:pStyle w:val="Heading2"/>
      </w:pPr>
      <w:r>
        <w:t>Regeste</w:t>
      </w:r>
    </w:p>
    <w:p>
      <w:r>
        <w:t>FONCTIONNAIRE, VIOLENCE CONTRE LES AUTORITÉS, PEINE PRIVATIVE DE LIBERTÉ, TORT MORAL, LÉSION CORPORELLE SIMPLE, VOIES DE FAIT | 47 CO, 285 CP, 41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le faire (art. 382 al. 1 CPP) et dirigé contre un jugement d'un tribunal ayant clos la procédure (art. 398 al. 1 CPP), l'appel formé par B.________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CP (TF 6B_834/2008 c. 3.2). Dans un arrêt du 22 décembre 2008, le Tribunal d'accusation vaudois (décision n° 704) a admis qu'un agent de sécurité du D.________ doit également être considéré comme un fonctionnaire. En bref, il a relevé que le D.________ et Z.________ SA avaient signé, en juillet 1997, un contrat de surveillance aux termes duquel cette entreprise s'obligeait à assurer la sécurité des bâtiments, ainsi que des biens et des personnes qui s'y trouvaient, que ses agents devaient intervenir sans délai pour supprimer ou limiter les effets de tout sinistre, incident ou accident, soit directement, soit en prévenant la personne à même de remédier à la situation telle que la police ou les pompiers et que les employés de Z.________ SA affectés au D.________ exerçaient donc, par délégation de compétence, une tâche d'intérêt publique, à savoir le maintien de la sécurité publique dans les locaux de l'hôpital. Le Tribunal d'accusation a également souligné que le D.________ était tenu, pour assurer sa mission de service public telle que définie à l'art. 1 LHC (loi vaudoise sur les Hospices cantonaux du 16 novembre 1993; RSV 810.11), de mettre en place un service de sécurité efficace, que cette activité, bien qu'accessoire, n'en était pas moins nécessaire à sa vocation principale de prestataire de soins, que les agents de sécurité agissaient selon les directives du personnel médical, auxquels ils étaient subordonnés, qu'ils n'avaient aucun pouvoir de décision ou d'appréciation propre, que l'activité de sécurité qu'ils déployaient ne pouvait dès lors être totalement dissociée de l'activité de soins, les employés de Z.________ SA apparaissant par conséquent comme de simples auxiliaires de ceux du D.________.</w:t>
      </w:r>
    </w:p>
    <w:p>
      <w:r>
        <w:rPr>
          <w:b/>
        </w:rPr>
        <w:t>E. 3.1.1</w:t>
      </w:r>
    </w:p>
    <w:p>
      <w:r>
        <w:t>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ès qualité dans le cadre de sa mission officielle et que c'est en raison de cette activité que l'auteur se livre à des voies de fait sur lui. En revanche, l'art. 285 CP n'est pas applicable si l'auteur règle un compte privé avec le fonctionnaire, mais à un moment où celui-ci est en fonction (ATF 110 IV 91 c. 2; TF 6B_834/2008 du 20 janvier 2009 c. 3.1). La notion pénale de fonctionnaire comprend aussi bien les fonctionnaires d'un point de vue institutionnel que fonctionnel. Les premiers sont les fonctionnaires au sens du droit public comme les employés des services publics. Pour les seconds, la forme juridique selon laquelle ils exercent leur activité pour la collectivité importe peu. La relation peut-être de droit public ou de droit privé. C'est la fonction des devoirs à la charge de l'agent public qui est plutôt d'une importance décisive. Si ces devoirs consistent en la réalisation d'activités publiques, alors les fonctions sont publiques et les personnes qui les accomplissent sont des fonctionnaires au sens du droit pénal (ATF 135 IV 198).</w:t>
      </w:r>
    </w:p>
    <w:p>
      <w:r>
        <w:rPr>
          <w:b/>
        </w:rPr>
        <w:t>E. 3.1.2</w:t>
      </w:r>
    </w:p>
    <w:p>
      <w:r>
        <w:t>Dans un arrêt du 20 janvier 2009, le Tribunal fédéral a admis qu'un infirmier du D.________ est un fonctionnaire au sens de l'art. 110 al.</w:t>
      </w:r>
    </w:p>
    <w:p>
      <w:r>
        <w:rPr>
          <w:b/>
        </w:rPr>
        <w:t>E. 3.2</w:t>
      </w:r>
    </w:p>
    <w:p>
      <w:r>
        <w:t>En l'espèce, on peut suivre en tous points la jurisprudence du Tribunal d'accusation telle qu'exposée ci-dessus. En effet, il est indéniable que les devoirs qui incombent à l'agent de sécurité consistent bel et bien en la réalisation d'activités publiques, soit le maintien de la sécurité dans les locaux dépendant de l'hôpital. Le contrat de surveillance qui lie le D.________ et Z.________ SA prévoit que celle-ci s'engage à assurer la sécurité, notamment des personnes, sur le site de la cité hospitalière – qui inclut la Tour [...], soit le bâtiment sis à l'avenue [...] 21 – (cf. art. 1). Pour tout sinistre, incident, accident, etc, Z.________ SA doit intervenir, sans délai, pour en supprimer, ou tout au moins en limiter, les effets, soit directement, soit en prévenant immédiatement le responsable désigné ou la personne la plus à même de remédier à la situation (cf. art. 2.3). Le fait que l'agent de sécurité soit un employé de la société Z.________ SA, et non directement du D.________, importe peu. En outre, contrairement à l'appréciation de l'appelant, on doit admettre que l'agent, qui travaille pour Z.________ SA sur le site du D.________, se trouve bel et bien dans un rapport de dépendance par rapport à l'établissement précité. En effet, selon la convention, le D.________ a le droit de contrôler le niveau de compétence du personnel mis en place par Z.________ SA (cf. art. 3.1) et de former et instruire les agents, qui sont au demeurant soumis au secret professionnel (cf. art. 3.3). Enfin, les agents chargés de maintenir la sécurité au sein du D.________ forment une brigade spécialisée dont les membres sont formés par le D.________ directement pour agir au sein d'un établissement hospitalier et ne sont pas interchangeables (cf. art. 3.2). Au regard de ces éléments, on doit admettre que l'agent de sécurité revêt bel et bien la qualité de fonctionnaire au sens de l'art. 110 al. 3 CP. Contrairement à l'appréciation de l'appelant, on ne saurait toutefois déduire de cette conclusion que tous les agents privés actifs puissent être considérés comme des fonctionnaires, indépendamment de l'endroit où ils effectuent leurs missions et de la qualité de leur mandant. Pour le surplus, il n'est à juste titre pas contesté que les conditions de l'art. 285 CP sont réalisées. En effet, en projetant un fer à repasser et une poêle en direction des agents de sécurité et en occasionnant à l'agent X.________ une brûlure, deux hématomes et une tuméfaction, l'appelant s'est livré à des voies de fait à l'égard de l'agent qui agissait dans le cadre de ses fonctions. Enfin, il a agi avec conscience et volonté. Mal fondé, le moyen de l'appelant doit être rejeté.</w:t>
      </w:r>
    </w:p>
    <w:p>
      <w:r>
        <w:rPr>
          <w:b/>
        </w:rPr>
        <w:t>E. 4</w:t>
      </w:r>
    </w:p>
    <w:p>
      <w:r>
        <w:t>L'appelant conteste la nature de la peine qui lui a été infligée et invoque une violation des art. 34 et 41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6B_128/2011 du 14 juin 2011 c. 3.1).</w:t>
      </w:r>
    </w:p>
    <w:p>
      <w:r>
        <w:rPr>
          <w:b/>
        </w:rPr>
        <w:t>E. 4.2</w:t>
      </w:r>
    </w:p>
    <w:p>
      <w:r>
        <w:t>L'appelant s'est rendu coupable de lésions corporelles simples qualifiées, de voies de fait qualifiées, de dommages à la propriété, de violation de domicile et de violence ou menace contre les autorités et les fonctionnaires. A charge, en plus de la violence dont il a fait preuve à l'égard de son ancienne compagne notamment, on doit tenir compte du concours d'infractions, des difficultés qu'a l'intéressé à reconnaître les faits qui lui sont reprochés pour en imputer la responsabilité à sa victime, du risque de récidive et de ses antécédents. A décharge, il faut prendre en considération la diminution de responsabilité pénale de l'appelant, conformément à l'expertise effectuée en 2009. Au regard des condamnations antérieures de l'appelant et de sa difficulté à reconnaître les faits, le pronostic est défavorable et le sursis est par conséquent exclu, ce qui n'est d'ailleurs pas contesté par l'intéressé. Les précédentes condamnations de l'appelant attestent un mépris des règles et une absence de considération pour autrui, l'intéressé ayant déjà été notamment condamné pour violence ou menace contre les autorités et les fonctionnaires ainsi que pour lésions corporelles simples. Il s'est vu infliger, avant les faits qui lui sont reprochés, une peine d'emprisonnement et une peine pécuniaire, qui n'ont à l'évidence eu aucun effet dissuasif sur lui. Dans ces conditions, on peut considérer qu'une peine pécuniaire ferme est dénuée de toute efficacité et doit être exclue. Reste à examiner la possibilité d'un travail d'intérêt général. En l'espèce, il est douteux que l'appelant soit apte au travail, dès lors qu'il souffre d'une maladie du foie pour laquelle il a été opéré. Il n'a pas non plus donné son accord à un travail d'intérêt général et ni d'ailleurs requis cette forme de sanction. Enfin, une telle peine ne paraît pas adéquate, le prononcé antérieur de peines qui étaient censées le toucher plus durement, comme l'emprisonnement et la peine pécuniaire, n'ayant eu aucun effet dissuasif sur l'intéressé. Ce dernier semble ainsi insensible aux sanctions pénales de toutes sortes. On ne saurait lui infliger une sanction moins incisive là où une peine plus sévère a échoué. Ainsi, pour des motifs de prévention spéciale, et s'agissant d'un prévenu qui doit savoir que ses récidives sont sanctionnées par des peines privatives de liberté, un travail d'intérêt général est également exclu. Compte tenu de ce qui précède, notamment de la culpabilité de l'appelant et de sa situation personnelle, la nature et la quotité de la peine infligée par le premier juge sont adéquates et doivent être confirmées, étant précisé que cette peine est partiellement complémentaire à celle infligée par la Cour de cassation pénale vaudoise le 6 juillet 2011. Mal fondé, le moyen doit être rejeté.</w:t>
      </w:r>
    </w:p>
    <w:p>
      <w:r>
        <w:rPr>
          <w:b/>
        </w:rPr>
        <w:t>E. 5</w:t>
      </w:r>
    </w:p>
    <w:p>
      <w:r>
        <w:t>B.________ invoque l’art. 49 CO (loi fédérale du 30 mars 1911 complétant le code civil suisse [Livre cinquième: Droit des obligations]; RS 220) et soutient que les conditions pour l’allocation d’une réparation morale à E.________ ne sont pas réalisées.</w:t>
      </w:r>
    </w:p>
    <w:p>
      <w:r>
        <w:rPr>
          <w:b/>
        </w:rPr>
        <w:t>E. 5.1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 3.2, non publié in ATF 134 III 97; 132 Il 117 c. 2.2.2; TF 6B_970/2010 du 23 mai 2011 c.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 4.2; TF 6S.28/2003 du 26 juin 2003 c. 3.2).</w:t>
      </w:r>
    </w:p>
    <w:p>
      <w:r>
        <w:rPr>
          <w:b/>
        </w:rPr>
        <w:t>E. 5.2</w:t>
      </w:r>
    </w:p>
    <w:p>
      <w:r>
        <w:t>Le 30 novembre 2010, l’appelant s’est disputé avec E.________, avec qui il faisait ménage commun. Il l’a projetée au sol, s’est mis en dessus d’elle et l’a saisie à la gorge. D’après ses dires, la victime n’a pas suffoqué et n’a pas eu de douleur au cou. Elle n’a pas consulté de médecin suite à cette altercation. Le 16 janvier 2011, l’appelant s’est introduit dans la Tour [...], dépendance du D.________, s’est rendu à la chambre [...], occupée par E.________, laquelle avait rompu leur relations depuis le début de l’année 2011, a enfoncé la porte de la chambre et y a pénétré. Deux agents de sécurité sont arrivés et une bagarre a éclaté. Au cours de celle-ci, l'appelant a assené un coup de poing sur l'avant-bras de l'intimée. Certes, les conséquences physiques des coups infligés à la plaignante paraissent peu importantes, cette dernière n’ayant pas eu de douleurs particulières. Reste qu’elles sont relativement importantes sur le plan psychologique. En effet, dans un certificat médical du 14 août 2012, le Dr [...] a attesté qu'E.________ était suivie par ses soins depuis le 8 octobre 2010, à la fréquence d’une séance hebdomadaire. La soeur de la lésée a également confirmé, lors des débats de première instance, que l’intéressée était plus triste qu’auparavant et qu’elle allait nettement mieux depuis qu’elle n’était plus avec l’appelant. Enfin, les comportements répréhensibles tels que relevés ci-dessus constituent des marques susceptibles d’effrayer durablement et de blesser sérieusement une personne dans sa santé psychique. Au regard de ces éléments, on doit admettre que les conditions pour l’allocation d’une réparation morale à E.________ sont réalisées. Pour le surplus, la quotité de l'indemnité octroyée par le premier juge est adéquate. Mal fondé, le dernier moyen soulevé par l'appelant doit également être rejeté.</w:t>
      </w:r>
    </w:p>
    <w:p>
      <w:r>
        <w:rPr>
          <w:b/>
        </w:rPr>
        <w:t>E. 6</w:t>
      </w:r>
    </w:p>
    <w:p>
      <w:r>
        <w:t>En définitive, l’appel doit être rejeté et le jugement de première instance intégralement confirmé. Vu l'issue de la cause, les frais de la procédure d'appel doivent être mis à la charge de B.________ (art. 428 al. 1 CPP). Au vu des opérations effectuées en appel, il se justifie d'arrêter à 799 fr. 20, TVA et débours compris, l'indemnité allouée au défenseur d'office de l'appelant et à 669 fr. 60, TVA comprise, l'indemnité allouée au conseil d'office de l'intimée. L'appelant ne sera tenu de rembourser à l’Etat les montants des indemnités en faveur de son défenseur d'office et du conseil d'office de l'intimée que lorsque sa situation financière le permettra (art. 135 al. 4 let. a CPP). Par ces motifs, appliquant les art. 19, 41, 47, 49, 50, 106, 123 ch. 1 et 2, 126 ch. 1 et 2 litt. c, 144 ch. 1, 186 et 285 ch. 1 CP; 398 ss CPP, prononce : I. L'appel formé par B.________ est rejeté. II. Le jugement rendu le 24 octobre 2012 par le Tribunal de police de l'arrondissement de Lausanne est confirmé et rectifié d’office à son chiffre II., le nouveau dispositif étant désormais le suivant : " I. Constate que B.________ s'est rendu coupable de lésions corporelles simples qualifiées, voies de fait qualifiées, dommages à la propriété, violation de domicile, violence ou menace contre les autorités et les fonctionnaires. II.              Condamne B.________ à une peine privative de liberté de 3 (trois) mois ainsi qu'à une amende de 1'000 fr. (mille francs), la peine privative de substitution en cas de non paiement fautif étant de 10 (dix) jours, la peine infligée étant partiellement complémentaire à celle infligée le 21 février 2011 par la Cour de cassation pénale vaudoise. III.              Dit que B.________ est débiteur d'E.________ de la somme de 2'000 fr. (deux mille francs), valeur échue, au titre de dommages-intérêts. IV.              Dit que B.________ est débiteur du D.________ de la somme de 200 fr. (deux cents francs), valeur échue, au titre de dommages-intérêts. V.              Fixe à 953 fr. 75, débours et TVA compris, l'indemnité du conseil d'office d'E.________, Me Patrick Mangold. VI.              Fixe à 2'365 fr. 20, débours et TVA compris, l'indemnité du défenseur d'office de B.________, Me Jean Lob. VII. Met à la charge de B.________ les frais de la cause par 5'648 fr. 95. VIII. Dit que le remboursement à l'Etat des indemnités fixées sous chiffres V. et VI. ci-dessus et comprises dans le montant des fais arrêtés sous ch. VII. ci-dessus ne sera exigé que si la situation économique de B.________ le permet." III. Une indemnité de défenseur d'office pour la procédure d'appel d'un montant de 799 fr. 20, TVA et débours compris, est allouée à Me Jean Lob. IV. Une indemnité de conseil d'office pour la procédure d'appel d'un montant de 669 fr. 60, TVA comprise, est allouée à Me Patrick Mangold. V. Les frais d'appel, arrêtés à 3'598 fr. 80, y compris l’indemnité allouée au défenseur d'office de l'appelant et celle allouée au conseil d’office de l'intimée, sont mis à la charge de B.________. VI. B.________ ne sera tenu de rembourser à l’Etat les montants des indemnités prévues aux chiffres III et IV ci-dessus que lorsque sa situation financière le permettra. La présidente :              La greffière : Du 24 janvier 2013 Le dispositif du jugement qui précède est communiqué à l'appelant et aux autres intéressés. La greffière : Du Le jugement qui précède, dont la rédaction a été approuvée à huis clos, est notifié, par l'envoi d'une copie complète, à : - Me Jean Lob, avocat (pour B.________), - Me Patrick Mangold, avocat (pour E.________), - Me Odile Pelet, avocate (pour le D.________), - Ministère public central, et communiqué à : - M. le Président du Tribunal d'arrondissement de Lausanne, - M. le Procureur de l'arrondissement de Lausanne, - Service de la population (division Etrangers, 16.01.1984),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