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45 vom 24. Oktober 2012</w:t>
      </w:r>
    </w:p>
    <w:p>
      <w:r>
        <w:t>VD Tribunal cantonal, 2012-10-24, FR</w:t>
      </w:r>
    </w:p>
    <w:p>
      <w:r>
        <w:rPr>
          <w:b/>
        </w:rPr>
        <w:t xml:space="preserve">Quelle: </w:t>
      </w:r>
      <w:r>
        <w:t>https://mcp.opencaselaw.ch/entscheid/vd_findinfo_Jug___2013___45</w:t>
      </w:r>
    </w:p>
    <w:p>
      <w:r>
        <w:t>FR: VD_FINDINFO Jug / 2013 / 45 du 24 octobre 2012</w:t>
      </w:r>
    </w:p>
    <w:p>
      <w:r>
        <w:t>IT: VD_FINDINFO Jug / 2013 / 45 del 24 ottobre 2012</w:t>
      </w:r>
    </w:p>
    <w:p>
      <w:pPr>
        <w:pStyle w:val="Heading2"/>
      </w:pPr>
      <w:r>
        <w:t>Regeste</w:t>
      </w:r>
    </w:p>
    <w:p>
      <w:r>
        <w:t>PAR MÉTIER, UTILISATION FRAUDULEUSE D'UN ORDINATEUR, FIXATION DE LA PEINE, PEINE | 139 ch. 1 CP, 139 ch. 2 CP, 139 ch. 3 CP, 147 al. 2 CP, 147 CP, 40 CP, 47 CP, 49 CP, 50 CP, 51 CP, 70 CP, 221 CPP (CH)</w:t>
      </w:r>
    </w:p>
    <w:p>
      <w:pPr>
        <w:pStyle w:val="Heading2"/>
      </w:pPr>
      <w:r>
        <w:t>Erwägungen</w:t>
      </w:r>
    </w:p>
    <w:p>
      <w:r>
        <w:rPr>
          <w:b/>
        </w:rPr>
        <w:t>E. 1</w:t>
      </w:r>
    </w:p>
    <w:p>
      <w:r>
        <w:t>Interjeté en temps utile et dans les formes, l'appel de E.________ est recevable [art. 399 al. 1 et 3 CPP (Code de procédure pénale suisse du 5 octobre 2007, RS 312.0)]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Aux débats d'appel, l'appelant a abandonné ses griefs fondés sur le caractère erroné et incomplet des faits, sur la non prise en compte de ses aveux, et sur la motivation insuffisante du jugement. Ces points n'ont dès lors plus à être examinés (art. 404 al. 1 CPP et TF 6B_841/2011 du 7 mai 2012 c. 1). L'examen du présent litige se bornera à la question de la peine, dont l'intéressé a requis qu'elle soit réduite à deux ans, sous déduction de la détention subie.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 3.1.2 Lors de la fixation de la peine, le juge doit également tenir compte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comme en l'occurrence, l'auteur remplit les conditions de plusieurs peines de même genre (TF 6B_687/2010 du 19 juillet 2011, c. 1.1.2).</w:t>
      </w:r>
    </w:p>
    <w:p>
      <w:r>
        <w:rPr>
          <w:b/>
        </w:rPr>
        <w:t>E. 3.2</w:t>
      </w:r>
    </w:p>
    <w:p>
      <w:r>
        <w:t>En l'espèce, si l’on donne acte à l’appelant qu’il n’a pas commis de brigandage pour s’approprier le patrimoine d’autrui, le vol est un crime qui est caractérisé ici par les circonstances aggravantes de la bande (les protagonistes formaient une équipe stable, soudée et bien organisée ; ATF 132 IV 132, c. 5.2), du métier (18 cas en 8 mois pour un chiffre d'affaire de plus de 75'000 fr.; ATF 129 IV 188 = JT 2004 IV 42), et du concours (art. 49 al.1 CP) avec l'infraction définie à l'art. 147 CP. L’infraction commise, mais surtout sa répétition, et le butin obtenu permettent de dire que, pris dans son ensemble, l’acte est grave. S’ajoute à cela le caractère lâche que supposait la perpétration des vols : on choisit des proies faciles (des personnes âgées) et on agit par la ruse (en les distrayant, en feignant de relever une défaillance technique). La circonstance aggravante du métier trahit l’intensité de la volonté délictuelle de ce prévenu qui sévit malgré le soutien de sa famille (jugement p. 17), et dont la seule motivation est l'appât du gain. Le mobile est vil. E.________ est ancré dans la délinquance :  il est venu en Suisse poursuivre – jusqu'à son arrestation – l'intense activité délictueuse déjà déployée dans son pays. Au vu de son casier judiciaire français, l'appelant a, en effet, commis une dizaine d'infractions, dont une bonne moitié contre le patrimoine. Il a déjà sévi avant sa majorité et a récidivé malgré les peines prononcées contre lui. Ces éléments, très négatifs, sont toutefois contrebalancés par les aveux du prévenu, ainsi que par les témoignages de moralité de son frèrQ.________, qui le décrivent comme une personne extrêmement influençable, mais aussi non violente et non réfractaire au travail (jugement pp. 8 et 9; P. 125). A décharge toujours, on relèvera le comportement de l'intéressé après l’acte, en particulier, sa bonne collaboration avec la police (jugement, p. 19), ses excuses écrites et verbales, le dédommagement apporté aux victimes (jugement p. 17), ainsi que ses regrets. Ces éléments, positifs, méritent d'être considérés, davantage qu'ils ne l'ont été par les premiers juges. A décharge enfin, il sied de retenir aussi les propos tenus par l'intéressé aux débats d'appel qui dénotent sa prise de conscience de la nature des actes présentement jugés. Au vu des éléments à charge et à décharge, une peine privative de liberté ramenée à 36 mois, sous déduction de la détention subie, est adéquate. Cette peine, contrairement à ce que l'appelant a plaidé en audience, n'est pas plus sévère que celle prononcée dans des affaires semblables (CAPE 2013/10 du</w:t>
      </w:r>
    </w:p>
    <w:p>
      <w:r>
        <w:rPr>
          <w:b/>
        </w:rPr>
        <w:t>E. 3.3</w:t>
      </w:r>
    </w:p>
    <w:p>
      <w:r>
        <w:t>L'appel de E.________ doit donc être partiellement admis et le jugement entrepris modifié au chiffre II de son dispositif dans le sens de ce qui précède. 4. Au vu de l'intensité de l'activité délictueuse déployée par l'intéressé, ainsi que de ses antécédents judiciaires, il existe un risque concret de réitération que seul le maintien en détention permet d'écarter efficacement (art. 221 al. 1 CPP). E.________ restera donc incarcéré pour des motifs de sûreté. 5. Vu l'issue de la cause, les frais d'appel, par 2'240 fr., y compris l'indemnité allouée au défenseur d'office de E.________, 1'328 fr. 40, (soit, 6 heures à 180 francs, plus 100 fr. de frais de trajet et 50 fr. de débours et 8% de TVA) doivent être mis par deux tiers (3'568 fr. 40 X 2/3 = 2'378 fr. 95) à la charge de E.________, le solde, par 1'189 fr. 45, étant laissé à la charge de l'Etat (art. 428 al. 1 CPP). L'appelant ne sera tenu de rembourser à l'Etat les deux tiers de indemnité en faveur de son défenseur d'office que lorsque sa situation financière le permettra (art. 135 al. 4 CPP) .</w:t>
      </w:r>
    </w:p>
    <w:p>
      <w:r>
        <w:rPr>
          <w:b/>
        </w:rPr>
        <w:t>E. 8</w:t>
      </w:r>
    </w:p>
    <w:p>
      <w:r>
        <w:t>janvier 2013). Le sursis, total ou partiel (art. 42 et 43 CP) est exclu dès lors qu'au vu des antécédents, de la personnalité de l'intéressé et l'intensité de son activité délictueuse, le pronostic est défavorable (ATF 134 IV 1 c. 5.3.1, op. cit.). L'appelant ne conclut d'ailleurs pas à ce que la peine soit assortie d'un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