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38 vom 30. August 2012</w:t>
      </w:r>
    </w:p>
    <w:p>
      <w:r>
        <w:t>VD Tribunal cantonal, 2012-08-30, FR</w:t>
      </w:r>
    </w:p>
    <w:p>
      <w:r>
        <w:rPr>
          <w:b/>
        </w:rPr>
        <w:t xml:space="preserve">Quelle: </w:t>
      </w:r>
      <w:r>
        <w:t>https://mcp.opencaselaw.ch/entscheid/vd_findinfo_Jug___2013___38</w:t>
      </w:r>
    </w:p>
    <w:p>
      <w:r>
        <w:t>FR: VD_FINDINFO Jug / 2013 / 38 du 30 août 2012</w:t>
      </w:r>
    </w:p>
    <w:p>
      <w:r>
        <w:t>IT: VD_FINDINFO Jug / 2013 / 38 del 30 agosto 2012</w:t>
      </w:r>
    </w:p>
    <w:p>
      <w:pPr>
        <w:pStyle w:val="Heading2"/>
      </w:pPr>
      <w:r>
        <w:t>Regeste</w:t>
      </w:r>
    </w:p>
    <w:p>
      <w:r>
        <w:t>SURSIS PARTIEL À L'EXÉCUTION DE LA PEINE, FIXATION DE LA PEINE, DROIT PÉNAL DES MINEURS, VIOL | 25 DPMin, 35 DPMin</w:t>
      </w:r>
    </w:p>
    <w:p>
      <w:pPr>
        <w:pStyle w:val="Heading2"/>
      </w:pPr>
      <w:r>
        <w:t>Erwägungen</w:t>
      </w:r>
    </w:p>
    <w:p>
      <w:r>
        <w:rPr>
          <w:b/>
        </w:rPr>
        <w:t>E. 1</w:t>
      </w:r>
    </w:p>
    <w:p>
      <w:r>
        <w:t>Interjeté dans les formes et délai légaux (cf. art. 399 CPP) contre le jugement d’un tribunal de première instance ayant clos la procédure (art. 398 al. 1 CPP), l'appel est recevable.</w:t>
      </w:r>
    </w:p>
    <w:p>
      <w:r>
        <w:rPr>
          <w:b/>
        </w:rPr>
        <w:t>E. 1.2</w:t>
      </w:r>
    </w:p>
    <w:p>
      <w:r>
        <w:t>L’appel relève de la procédure orale, dès lors qu'il tend à une aggravation de peine. Comme il ne porte que sur la peine et ses modalités, il ne concerne pas les parties plaignantes (art. 382 al. 2 CPP; Kistler Vianin, dans : Roth/Moreillon [éd.], Commentaire romand, Bâle 2009, n° 7 ad art. 401 CPP).</w:t>
      </w:r>
    </w:p>
    <w:p>
      <w:r>
        <w:rPr>
          <w:b/>
        </w:rPr>
        <w:t>E. 2</w:t>
      </w:r>
    </w:p>
    <w:p>
      <w:r>
        <w:t>Est condamné à une privation de liberté de quatre ans au plus le mineur qui avait seize ans le jour de l’infraction: a. s’il a commis un crime pour lequel le droit applicable aux adultes prévoit une peine privative de liberté de trois ans au moins; b. s’il a commis une infraction prévue aux art. 122, 140, al. 3, ou 184 CP en faisant preuve d’une absence particulière de scrupules, notamment si son mobile, sa façon d’agir ou le but de l’acte révèlent des dispositions d’esprit hautement répréhensibles". En droit pénal des mœurs, seuls les crimes de contrainte sexuelle avec cruauté et de viol avec cruauté (art. 189 al. 3 et 190 al. 3 CP) sont concernés par la peine de maximale de quatre ans prévue à l’art. 25 al. 2 let a DPMin (Aebersold, Schweirerisches Jugendstrafrecht, 2ème ed., Berne 2011, p. 178). On est donc confronté à deux genres de peines : les prestations personnelles et la peine privative de liberté. Les premiers juges n’ont toutefois infligé qu’une peine privative de liberté, ce que la défense n’a pas contesté, dès lors qu'elle avait elle-même conclu à une condamnation à une peine privative de liberté assortie du sursis (P. 405 p. 9). Apparemment, le Tribunal des mineurs n’a en revanche pas renoncé tacitement à sanctionner les premiers crimes sexuels, puisqu’il s’y réfère dans l’appréciation de la culpabilité du prévenu (jugement p. 5, ch. 2).</w:t>
      </w:r>
    </w:p>
    <w:p>
      <w:r>
        <w:rPr>
          <w:b/>
        </w:rPr>
        <w:t>E. 2.1</w:t>
      </w:r>
    </w:p>
    <w:p>
      <w:r>
        <w:t>Les faits punissables sont tous postérieurs au 1 er janvier 2007, date d’entrée en vigueur du DPMin. Cette loi est donc applicable pour ce qui est du droit matériel. Quant à la procédure, elle est soumise à la PPMin, entrée en vigueur le 1er janvier 2011 (art. 47 PPMin pour le droit transitoire). Sauf dispositions particulières de la PPMin, le code de procédure pénale est applicable (art. 3 al. 1 PPMin), les exceptions prévues à l'art. 3 al. 2 PPMin n'étant pas en cause en l'espèce.</w:t>
      </w:r>
    </w:p>
    <w:p>
      <w:r>
        <w:rPr>
          <w:b/>
        </w:rPr>
        <w:t>E. 2.2</w:t>
      </w:r>
    </w:p>
    <w:p>
      <w:r>
        <w:t>Le Ministère public conteste d'abord la quotité de la peine privative de liberté, qu'il tient pour excessivement clémente. Comme le relèvent les premiers juges (jugement, p. 5), concernant le viol et la contrainte sexuelle perpétrés le 1 er septembre 2007, soit alors que l’auteur n’avait pas 15 ans, la peine maximale est de dix jours de prestations personnelles (art. 23 al. 3 DPMin). La prescription de l’action pénale aurait été acquise à l’échéance du délai de cinq ans prévu à l’art. 36 al. 1 let a DPMin, soit le 1 er septembre 2012, si le jugement n’avait pas été rendu l’avant-veille, soit le 30 août 2012. Cependant, il n’y a pas lieu de faire application de la circonstance atténuante de l’écoulement du temps prévue à l’art. 48 let. e CP auquel l’art. 1 al. 2 DPMin renvoie, ni de l’exemption de peine prévue à l’art. 21 al. 1 let. f DPMin. En effet, le mineur ne peut être réputé s'être bien comporté dans l’intervalle, puisqu'il a commis un autre viol depuis ces faits. Le viol commis le 21 juillet 2011, pour lequel l’art. 190 al. 1 CP prévoit, en droit pénal des adultes, une peine privative de liberté minimale d’une année, est passible d’une peine privative de liberté maximale de douze mois en droit des mineurs. En effet, sous la note marginale Privation de liberté, Contenu et conditions , l’art. 25 DPMin a la teneur suivante : "1 Est passible d’une privation de liberté d’un jour à un an le mineur qui a commis un crime ou un délit s’il avait quinze ans le jour où il l’a commis.</w:t>
      </w:r>
    </w:p>
    <w:p>
      <w:r>
        <w:rPr>
          <w:b/>
        </w:rPr>
        <w:t>E. 2.3</w:t>
      </w:r>
    </w:p>
    <w:p>
      <w:r>
        <w:t>Une peine privative de liberté d’ensemble est exclue. S’agissant de peines de genres différents, c'est bien plutôt le cumul de peines qui s’impose (art. 34 al. 1 DPMin calqué sur l’art. 49 al. 1 CP; Aebersold, op. cit., p. 197). Il en résulte que le jugement attaqué est discutable dans la mesure où il prononce uniquement une peine privative de liberté de huit mois. Même si le genre de peine n’est pas contesté en appel, la cour de céans peut revoir ce point en application de l’art. 391 CPP, comme conséquence d’une nouvelle décision portant sur la quotité de la sanction. Il s'ensuit, en principe, que c'est une peine de prestations personnelles (maximum de dix jours) et une peine privative de liberté (maximum de douze mois) qui devraient être prononcées.</w:t>
      </w:r>
    </w:p>
    <w:p>
      <w:r>
        <w:rPr>
          <w:b/>
        </w:rPr>
        <w:t>E. 2.4</w:t>
      </w:r>
    </w:p>
    <w:p>
      <w:r>
        <w:t>Appréciant la culpabilité du prévenu, la cour de céans retient les éléments à charge pris en compte par les premiers juges, auxquels il y a lieu d'ajouter les lourdes lésions psychiques causées à L.________, ainsi que la désinvolture dont l'auteur a fait preuve à l'égard de celle-ci au téléphone peu après les faits et le peu d'empressement qu'il manifeste à la dédommager. Pour ce qui est des éléments à décharge, c'est à tort que les premiers juges ont retenu l’absence d’antécédent, s’agissant d’un mineur qui a commis des crimes avant l'âge de 14 ans révolus déjà. En effet, outre que la jeunesse de l'auteur était objectivement propre à empêcher la constitution d’antécédents, l'absence d'antécédent a, selon la jurisprudence la plus récente, un effet neutre sur la culpabilité et n'a donc pas à être retenue dans un sens atténuant, sauf circonstance exceptionnelle (ATF 136 IV 1 c. 2.6.4 p. 3). Ce moyen de l'appel doit donc être accueilli. C'est également à tort que les premiers juges ont mentionné à décharge le comportement ambigu de la victime L.________ durant près de trois heures avant qu’elle ne soit violée. En effet, il ne s'agit pas d'un facteur atténuant, dès lors qu’au moment où la contrainte sexuelle s’était exercée, la victime a opposé à son agresseur un refus clair et net, qui n’était entaché d’aucune ambiguïté, et que l’auteur a usé de sa supériorité physique et de violence pour vaincre la résistance de la jeune femme. Ce moyen de l'appel s'avère donc également fondé. Pour le reste, il y a lieu de retenir, avec les premiers juges, la bonne intégration sociale et professionnelle de l'auteur, les regrets exprimés, même peu investis, et la honte ressentie par l'intéressé.</w:t>
      </w:r>
    </w:p>
    <w:p>
      <w:r>
        <w:rPr>
          <w:b/>
        </w:rPr>
        <w:t>E. 2.5</w:t>
      </w:r>
    </w:p>
    <w:p>
      <w:r>
        <w:t>Cela étant, le Ministère public fait valoir que le second viol a été commis alors que l’auteur était à deux mois de son accession à la majorité; or, à partir de ce terme, il aurait encouru, pour le même acte, une privation de liberté de douze mois au moins (art. 190 CP), la proximité de ce seuil montrant, selon l'appelant, que la quotité de la peine serait insuffisante. Comme déjà relevé, le viol perpétré le 21 juillet 2011 l'a été dans des circonstances qui le font apparaître à certains égards comme particulièrement grave. La froideur, l'indifférence, puis le mépris exprimés à la victime alourdissent cette culpabilité.</w:t>
      </w:r>
    </w:p>
    <w:p>
      <w:r>
        <w:rPr>
          <w:b/>
        </w:rPr>
        <w:t>E. 2.6</w:t>
      </w:r>
    </w:p>
    <w:p>
      <w:r>
        <w:t>Seul le maximum légal de douze mois, conforme à la réquisition du Ministère public, apparaît adéquat au vu de la gravité des faits et du poids des facteurs à charge dans l'appréciation de la culpabilité. Pour un mineur aussi jeune, violer une première femme, puis en violer une seconde à moins de quatre ans d’intervalle, peu avant sa majorité, démontre une inquiétante précocité criminelle, une dangerosité particulière, une persistance dans le crime, ainsi qu'une incapacité manifeste à réfléchir à la portée de ses actes et à se construire au fil des années, en avançant en maturité et en acquérant les moyens de se maîtriser sexuellement. L’attitude du prévenu en cours d’enquête exprime un égoïsme similaire. Le souci de préserver ses intérêts l’emporte pour lui sur toute autre considération. Son attitude à l'audience d'appel ne témoigne pas d'un changement fondamental de comportement. Au-delà de considérations tactiques, on ne perçoit ainsi pas, de la part du prévenu, de prise de conscience essentielle, ni de besoin profond de s’amender durablement. Bref, la notion même de faute ne paraît pas intégrée.</w:t>
      </w:r>
    </w:p>
    <w:p>
      <w:r>
        <w:rPr>
          <w:b/>
        </w:rPr>
        <w:t>E. 2.7</w:t>
      </w:r>
    </w:p>
    <w:p>
      <w:r>
        <w:t>La peine de douze mois de privation de liberté ne réprime que le second viol. A la rigueur du droit, la cour de céans devrait aussi infliger quelques jours (moins de dix) de prestations personnelles pour le premier. Toutefois, une telle sanction n’aurait guère de sens au vu de l’âge actuel de l’intimé, de l’ancienneté des premières infractions, de l’âge auquel il les a commises et de la grande proximité de la prescription lors du prononcé de la peine en première instance, déjà mentionnée par les premiers juges. En opportunité (art. 398 al. 3 let. c CPP), il convient donc de renoncer à sanctionner, même si les conditions de l’art. 21 DPMin ne sont pas réalisées.</w:t>
      </w:r>
    </w:p>
    <w:p>
      <w:r>
        <w:rPr>
          <w:b/>
        </w:rPr>
        <w:t>E. 3.1</w:t>
      </w:r>
    </w:p>
    <w:p>
      <w:r>
        <w:t>Le Ministère public a conclu à ce que la peine ne soit assortie que du sursis partiel, ce à raison de six mois pour un délai d'épreuve de deux ans.</w:t>
      </w:r>
    </w:p>
    <w:p>
      <w:r>
        <w:rPr>
          <w:b/>
        </w:rPr>
        <w:t>E. 3.2</w:t>
      </w:r>
    </w:p>
    <w:p>
      <w:r>
        <w:t>Sous la note marginale Sursis à l’exécution de la peine , l’art. 35 DPMin a la teneur suivante : "1 L’autorité de jugement suspend totalement ou partiellement l’exécution d’une amende, d’une prestation personnelle ou d’une privation de liberté de 30 mois au plus lorsqu’une peine ferme ne paraît pas nécessaire pour détourner le mineur d’autres crimes ou délits. 2               Les art. 29 à 31 (DPMin, réd.) s’appliquent par analogie aux peines suspendues. Si une privation de liberté est suspendue partiellement, les art. 28 à 31 ne s’appliquent pas à la partie de la peine qui doit être exécutée".</w:t>
      </w:r>
    </w:p>
    <w:p>
      <w:r>
        <w:rPr>
          <w:b/>
        </w:rPr>
        <w:t>E. 3.3</w:t>
      </w:r>
    </w:p>
    <w:p>
      <w:r>
        <w:t>Comme cela résulte implicitement du texte légal et ainsi que la doctrine le confirme (Aebersold, op. cit., p. 201), le juge des mineurs, s’il opte pour le sursis partiel, n’est pas tenu par les restrictions de l’art. 43 CP. L'art. 43 al. 1 CP prévoit que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4 p. 4 ss, ainsi que c. 5 p. 9 ss, spéc. c. 5.5.2 p. 14 ss;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w:t>
      </w:r>
    </w:p>
    <w:p>
      <w:r>
        <w:rPr>
          <w:b/>
        </w:rPr>
        <w:t>E. 3.4</w:t>
      </w:r>
    </w:p>
    <w:p>
      <w:r>
        <w:t>En l'espèce, le prévenu a commis un premier crime sexuel particulièrement grave, en concours réel avec une autre infraction contre l'intégrité sexuelle, à un âge de moins de 14 ans. Ce crime a été suivi du viol d’une seconde femme à deux mois de la majorité de l’auteur. L'intimé manifeste une propension à nier les faits les plus graves; il ne témoigne ni de remords authentiques, ni d'une vraie prise de conscience. Il s'agit d'autant d'éléments de mauvais pronostic sur le plan subjectif. On relève toutefois que l'intimé n'a pas été condamné précédemment, qu'il accomplit une formation professionnelle, qu'il a un projet de formation qui apparaît solide et qu’il bénéficie de l’encadrement et du soutien de sa famille. Ces derniers éléments sont de bon pronostic. Ils permettent de contrebalancer en partie les facteurs contraires et excluent de pouvoir poser un pronostic totalement défavorable. Partant, comme le demande l'appelant, l'exécution d'une partie de la peine seulement s'avère suffisante, et nécessaire sous l'angle de la prévention spéciale. Pour ce qui est de la durée du sursis, il s'agit d'imposer dans l’esprit du condamné une limite comportementale claire et difficilement franchissable en raison des conséquences qu’il subira. Tout bien considéré, l'exécution de la peine doit être suspendue pour une durée de neuf mois, avec accompagnement et délai d'épreuve de deux ans. Les conditions au sursis arrêtées par les premiers juges, incontestées en appel, sont maintenues. L'appel doit donc être admis partiellement dans la mesure ci-dessus.</w:t>
      </w:r>
    </w:p>
    <w:p>
      <w:r>
        <w:rPr>
          <w:b/>
        </w:rPr>
        <w:t>E. 4</w:t>
      </w:r>
    </w:p>
    <w:p>
      <w:r>
        <w:t>Vu l'issue de la cause, les frais d'appel selon l'art. 424 CPP doivent être mis à la charge de l’intimé, qui succombe sur le principe nonobstant l'admission partielle de l'appel (art. 428 al. 1, 1 ère phrase, CPP). Outre l'émolument (réduit de moitié en cas de procédure pénale applicable aux mineurs selon l'art. 21 al. 3 TFJP), ces frais comprennent l’indemnité d’office allouée à son défenseur d'office pour les opérations utiles liées à la procédure d'appel (cf. les art. 135 al. 2 et 422 al. 2 let. a CPP; art. 2 al. 2 ch. 1 TFJP). Vu l'ampleur et la complexité de la cause en appel, l'indemnité allouée au défenseur d'office de l'intimé doit être fixée sur la base d'une durée d'activité de quatre heures et demie, au tarif horaire de 180 fr., des débours étant également pris en compte, et de la TVA (cf. l'art. 135 al. 1 CPP; TF 2P.325/2003 du 6 juin 2006). Le prévenu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