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37 vom 12. September 2012</w:t>
      </w:r>
    </w:p>
    <w:p>
      <w:r>
        <w:t>VD Tribunal cantonal, 2012-09-12, FR</w:t>
      </w:r>
    </w:p>
    <w:p>
      <w:r>
        <w:rPr>
          <w:b/>
        </w:rPr>
        <w:t xml:space="preserve">Quelle: </w:t>
      </w:r>
      <w:r>
        <w:t>https://mcp.opencaselaw.ch/entscheid/vd_findinfo_Jug___2013___37</w:t>
      </w:r>
    </w:p>
    <w:p>
      <w:r>
        <w:t>FR: VD_FINDINFO Jug / 2013 / 37 du 12 septembre 2012</w:t>
      </w:r>
    </w:p>
    <w:p>
      <w:r>
        <w:t>IT: VD_FINDINFO Jug / 2013 / 37 del 12 settembre 2012</w:t>
      </w:r>
    </w:p>
    <w:p>
      <w:pPr>
        <w:pStyle w:val="Heading2"/>
      </w:pPr>
      <w:r>
        <w:t>Regeste</w:t>
      </w:r>
    </w:p>
    <w:p>
      <w:r>
        <w:t>LÉSION CORPORELLE SIMPLE, NÉGLIGENCE, FRAIS DE LA PROCÉDURE | 125 al. 1 CP, 34 CP, 42 CP, 44 CP, 47 CP, 50 CP</w:t>
      </w:r>
    </w:p>
    <w:p>
      <w:pPr>
        <w:pStyle w:val="Heading2"/>
      </w:pPr>
      <w:r>
        <w:t>Erwägungen</w:t>
      </w:r>
    </w:p>
    <w:p>
      <w:r>
        <w:rPr>
          <w:b/>
        </w:rPr>
        <w:t>E. 1</w:t>
      </w:r>
    </w:p>
    <w:p>
      <w:r>
        <w:t>Interjeté en temps utile et dans les formes, l'appel de A.________ est recevable (art. 399 al. 1 et 3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L'appelante conteste les faits. Elle nie avoir rudoyé [...] et produit des témoignages écrits qui la présentent, en bref, comme une maman de jour douce, attachante et digne de confiance (P. 5 à 9 bordereau).</w:t>
      </w:r>
    </w:p>
    <w:p>
      <w:r>
        <w:rPr>
          <w:b/>
        </w:rPr>
        <w:t>E. 3.1</w:t>
      </w:r>
    </w:p>
    <w:p>
      <w:r>
        <w:t>Des propos constants tenus par l'intéressée en cours d'enquête (PV aud. 2 et PV aud. 4) et devant l'autorité de première instance (jugement p. 5 à 7), [...] refusait de se nourrir; la prévenue l'a néanmoins fait manger et boire; contrarié, l'enfant est entré en crise, a vomi et s'est jeté dans ses vomissures. La prévenue l'a saisi et l'a placé, très agité, dans la baignoire pour le déshabiller et le laver (PV aud. 2 p. 2 et jugement p. 5). Comme l'enfant se débattait, elle l'a empoigné pour lui ôter rapidement (jugement p. 5) son t-shirt, le griffant involontairement (PV aud. 2, PV aud. 4, P. 4, p. 2). Cette empoignade, plus stressante qu'autre chose (PV aud. 4 p. 3 R. 14), et la griffure accidentelle qui a suivi, ont mis l'enfant – grand et fort pour son âge – dans un état d'énervement tel que la prévenue n'a plus été en mesure de le maîtriser (jugement p. 5). Il résulte donc des déclarations de l'appelante elle-même qu'elle a causé des blessures à l'enfant, alors qu'elle ne parvenait pas à le maîtriser. Les blessures constatées médicalement (P. 8 et P. 11) démontrent, au demeurant, la précipitation et la brusquerie avec laquelle le déshabillage a été entrepris. Il pouvait donc être retenu, comme l'a fait le premier juge (jugement p. 27), que l'appelante a été dépassée par les événements et a perdu patience vis-à-vis d'un bambin en colère. Cette appréciation se confirme au regard des propos de [...] – gardienne de jour régulière de [...]à cette époque, selon laquelle l'enfant était turbulent et souvent en crise (jugement p. 8) – et si l'on sait que A.________ avait la garde de quatre autres enfants le jour des faits. Cela étant, il importe peu que l'appelante ait été d'ordinaire une maman de jour douce et fiable; ce fait n'est d'ailleurs pas remis en cause.</w:t>
      </w:r>
    </w:p>
    <w:p>
      <w:r>
        <w:rPr>
          <w:b/>
        </w:rPr>
        <w:t>E. 3.2</w:t>
      </w:r>
    </w:p>
    <w:p>
      <w:r>
        <w:t>L'état de fait du premier juge ne prête pas le flanc à la critique et doit être confirmé. L'appel s'avère mal fondé sur ce point.</w:t>
      </w:r>
    </w:p>
    <w:p>
      <w:r>
        <w:rPr>
          <w:b/>
        </w:rPr>
        <w:t>E. 4</w:t>
      </w:r>
    </w:p>
    <w:p>
      <w:r>
        <w:t>L'appelante demande à être libérée de l'infraction de lésions corporelles simples par négligence. Elle conteste avoir violé les règles de prudence que lui imposaient les circonstances et son statut, et prétend que l'enfant s'est blessé parce qu'il était agité. 4.1.1 Selon l'art. 125 al. 1 CP, celui qui, par négligence, aura fait subir à une personne une atteinte à l'intégrité corporelle ou à la santé sera, sur plainte, puni d'une peine privative de liberté de trois ans au plus ou d'une peine pécuniaire. 4.1.2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(TF 6B_543/2011 du 7 octobre 2011 c.2.2.2). Pour déterminer plus précisément les devoirs imposés par la prudence, on peut se référer à des normes édictées par l'ordre juridique pour assurer la sécurité et éviter les accidents. A défaut de dispositions légales ou réglementaires, on peut se référer à des règles analogues qui émanent d’associations privées ou semi-publiques lorsqu’elles sont généralement reconnues. La violation des devoirs de prudence peut aussi être déduite des principes généraux, si aucune règle de sécurité n’a été violée. Un comportement viole le devoir de prudence lorsque l’auteur, au moment des faits, aurait pu, compte tenu de ses connaissances et de ses capacités, se rendre compte de la mise en danger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(CAPE 16 août 2012/199 c. 3. 1 in initio et réf. cit.). S'il y a eu violation d'une règle de prudence, encore faut-il qu'elle puisse être imputée à une faute, c'est-à-dire que l'on puisse reprocher à l'auteur, compte tenu de ses circonstances personnelles, d'avoir fait preuve d'un manque d'effort blâmable (TF 6B_543/2011 du 7 octobre 2011, et CAPE 16 août 2012/199, ibidem ). Un comportement est la cause naturelle d'un résultat s'il en constitue l'une des conditions sine qua non, c'est-à-dire si, sans lui, le résultat ne se serait pas produit. La constatation du rapport de causalité naturelle relève du fait. Le comportement incriminé doit également être la cause adéquate du résultat. Tel est le cas lorsque, d'après le cours ordinaire des choses et l'expérience de la vie, le comportement était propre à entraîner un résultat du genre de celui qui s'est produit; il s'agit là d'une question de droit. La causalité adéquate sera admise même si le comportement de l'auteur n'est pas la cause directe ou unique du résultat. Peu importe que le résultat soit dû à d'autres causes, notamment à l'état de la victime, à son comportement ou à celui de tiers (TF 6B_543/2011 du 7 octobre 2011 op. cit, et réf.).</w:t>
      </w:r>
    </w:p>
    <w:p>
      <w:r>
        <w:rPr>
          <w:b/>
        </w:rPr>
        <w:t>E. 4.2</w:t>
      </w:r>
    </w:p>
    <w:p>
      <w:r>
        <w:t>S'il est vrai que A.________ n'a pas voulu provoquer les lésions constatées sur [...], on peut lui reprocher d'avoir objectivement violé son devoir de prudence en le plaçant très agité dans une baignoire pour le déshabiller de force et le doucher. En procédant de la sorte dans cet endroit confiné avec un enfant colérique, difficile à maîtriser et déjà en crise,  l'intéressée a pris des risques qui se sont réalisés et qui ont conduit aux blessures constatées. Une telle situation aurait pu être évitée, si, comme on pouvait l'attendre d'elle en tant que professionnelle de la garde d'enfants, l'appelante avait attendu que l'enfant se calme avant de le doucher (ce qui aurait été possible puisqu'il avait peu vomi, et si elle l'avait déshabillé en un autre lieu que dans une baignoire. Cette violation objective de ses devoirs de prudence est donc imputable à faute à la prévenue. En définitive, l'infraction de lésions corporelles simples par négligence est réalisée, ce que retient à bon droit le jugement entrepris. L'appel apparaît mal fondé sur ce point également.</w:t>
      </w:r>
    </w:p>
    <w:p>
      <w:r>
        <w:rPr>
          <w:b/>
        </w:rPr>
        <w:t>E. 5</w:t>
      </w:r>
    </w:p>
    <w:p>
      <w:r>
        <w:t>L'appelante conteste la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TF 6B_759/2011 du 19 avril 2012 c. 1.1).</w:t>
      </w:r>
    </w:p>
    <w:p>
      <w:r>
        <w:rPr>
          <w:b/>
        </w:rPr>
        <w:t>E. 5.2</w:t>
      </w:r>
    </w:p>
    <w:p>
      <w:r>
        <w:t>A la charge de A.________ on retiendra que malgré la grande expérience professionnelle dont elle se prévaut, elle a perdu patience avec un enfant, certes criseux, mais qui a été en définitive blessé à plusieurs endroits. A la décharge de l'intéressée, on relèvera cependant qu'il s'agit d'un événement isolé et d'un comportement négligent, résultant d'un mauvais choix. La faute de A.________ reste donc légère. Elle est habituellement une bonne maman de jour. L'absence d'antécédent judiciaire est un élément neutre (ATF 136 IV 1). Au vu de ce qui précède, une peine de trente jours-amende est adéquate. La valeur du jour-amende doit être fixée à 30 fr., pour tenir compte de la situation économique de la prévenue au moment du jugement (ATF 116 IV 4 c. 3a). Cette peine doit être assortie d'un sursis, le pronostic n'étant pas clairement défavorable. Un délai d'épreuve de deux ans s'avère en outre suffisant pour prévenir tout risque de récidive (art. 44 CP). La peine infligée à A.________ doit en conséquence être confirmée.</w:t>
      </w:r>
    </w:p>
    <w:p>
      <w:r>
        <w:rPr>
          <w:b/>
        </w:rPr>
        <w:t>E. 6</w:t>
      </w:r>
    </w:p>
    <w:p>
      <w:r>
        <w:t>A.________ reproche au premier juge d'avoir mis à sa charge l'entier des frais de justice de première instance alors qu'elle a été partiellement libérée.</w:t>
      </w:r>
    </w:p>
    <w:p>
      <w:r>
        <w:rPr>
          <w:b/>
        </w:rPr>
        <w:t>E. 6.1</w:t>
      </w:r>
    </w:p>
    <w:p>
      <w:r>
        <w:t>L’art. 426 al. 2 CPP dispose que lorsque le prévenu est acquitté, tout ou partie des frais de procédure peuvent être mis à sa charge s’il a, de manière illicite et fautive, provoqué l'ouverture de la procédure ou rendu plus difficile la conduite de celle-ci. Seul un comportement fautif au regard du droit civil peut justifier la mise des frais à la charge du prévenu libéré. Le comportement fautif du prévenu doit être à l'origine de l'ouverture de l'enquête pénale pour que les frais y relatifs puissent être mis à la charge de celui-ci. Selon le principe de la causalité des frais, le comportement du prévenu doit également être à l'origine des frais pour que ceux-ci puissent lui être imputés. Enfin, il faut que le prévenu ait clairement violé une norme de comportement écrite ou non écrite, résultant de l'ordre juridique suisse dans son ensemble, pour permettre une application analogique de l'art. 41 CO (CAPE 7 octobre 2011/61 c. 6.1, et réf. cit.).</w:t>
      </w:r>
    </w:p>
    <w:p>
      <w:r>
        <w:rPr>
          <w:b/>
        </w:rPr>
        <w:t>E. 6.2</w:t>
      </w:r>
    </w:p>
    <w:p>
      <w:r>
        <w:t>Dès lors que l'appelante, qui était également soupçonnée d'autres faits, a été libérée des deux principaux chefs d'accusation et que seule une infraction par négligence doit être retenue, une partie des frais – fixée à deux tiers au vu du sort de la procédure de première instance – pouvait être mise à sa charge, le solde étant laissé à la charge de l'Etat. Le montant des frais, fixé à 3'220 fr. par le premier juge, doit être confirmé; il n'est au demeurant pas remis en cause (art. 404 al. 1 CPP). Le grief est bien fondé. Le jugement entrepris doit donc être réformé dans le sens de ce qui précède.</w:t>
      </w:r>
    </w:p>
    <w:p>
      <w:r>
        <w:rPr>
          <w:b/>
        </w:rPr>
        <w:t>E. 7</w:t>
      </w:r>
    </w:p>
    <w:p>
      <w:r>
        <w:t>A.________ soutient, au vu du sort de la cause en première instance et des conclusions qu'elle avait prises aux débats, que le premier juge aurait dû entrer en matière et lui allouer une indemnité de l'art. 429 CPP. Devant la cour de céans, elle demande expressément un montant de 4'309 fr. 70 à titre de dépens de première instance, ainsi que 1'480 fr. à titre d'indemnité selon l'art. 429 al. 1 let. b. et c CPP (mémoire p. 3).</w:t>
      </w:r>
    </w:p>
    <w:p>
      <w:r>
        <w:rPr>
          <w:b/>
        </w:rPr>
        <w:t>E. 7.1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L'indemnité de l'art. 429 al. 1 let. a CPP concerne les dépenses du prévenu pour un avocat de choix (TF 6B_753/2011 du 14 août 2011 c. 1). A partir du moment où le prévenu remplit les conditions posées à l'art. 429 al. 1 er CPP et qu'aucun motif de réduction ou de refus au sens de l'art. 430 CPP n'est réalisé, l'indemnité doit lui être accordée. Il s'agit d'une obligation et non d'une possibilité, ainsi que cela ressort du texte légal même. L'autorité pénale examine d'office les prétentions du prévenu. Elle peut enjoindre celui-ci de les chiffrer et de les justifier (art. 429 al. 2 CPP). 7.2.1 Le premier juge n'a pas statué sur cette demande, comme il aurait dû le faire d'office. Il convient de combler cette lacune (art. 429 al. 2 CPP). A.________ et le dispositif du jugement attaqué modifié par l'ajout d'un chiffre VII lui accordant, à la charge de l'Etat, l'indemnité partielle ci-dessus. 7.2.2 Le droit à une indemnité de l'art. 429 CPP n'est pas ouvert pour la procédure de seconde instance, A.________ n'obtenant gain de cause que sur la question accessoire des frais (art. 429 al.1 let. a CPP, a contrario ).</w:t>
      </w:r>
    </w:p>
    <w:p>
      <w:r>
        <w:rPr>
          <w:b/>
        </w:rPr>
        <w:t>E. 8</w:t>
      </w:r>
    </w:p>
    <w:p>
      <w:r>
        <w:t>Vu le sort de l'appel, les frais de seconde instance, qui se montent à 2'020 fr. sont mis, par trois quarts (1'515 fr.) à la charge de A.________ le solde (505 fr.) étant laissé à la charge de l'Etat. Par ces motifs, appliquant les articles 34, 42, 44, 47, 50, 125 al. 1 CP et 398ss CPP prononce : I. L'appel est partiellement admis. II. Le jugement rendu le 12 septembre 2012 par le Tribunal de police de l'arrondissement de Lausanne est modifié au chiffre VI de son dispositif et complété par l'ajout d'un chiffre VII nouveau, le dispositif étant désormais le suivant : " I. libère A.________ des chefs d'accusation de lésions corporelles simples qualifiées et de voies de fait; II. constate que A.________ s'est rendue coupable de lésions corporelles simples par négligence; III. condamne A.________ à une peine pécuniaire de 30 (trente) jours-amende, le montant du jour-amende étant fixé à CHF 30.- (trente); IV. suspend l'exécution de la peine prévue au chiffre III ci-dessus et fixe à la condamnée un délai d'épreuve de 2 (deux) ans; V. dit que le CD figurant sous fiche n o 50203 est conservé au dossier à titre de pièce à conviction; VI. met les frais de justice, arrêtés à CHF 3'220.-, par deux tiers, soit CHF 2'146.65 (deux mille cent quarante-six francs et quarante-cinq centimes), à la charge deA.________, le solde étant laissé à la charge de l'Etat. VII. alloue à A.________, à la charge de l'Etat, la somme de CHF 800.- à titre d'indemnité partielle de l'art. 429 al. 1 let. a CPP." III. Les frais d'appel, par 2'020 fr. (deux mille vingt francs) sont mis à la charge de A.________ à raison de trois quarts, soit 1'515 fr. (mille cinq cent quinze francs), le solde, par 505 fr. (cinq cent cinq francs) étant laissé à la charge de l'Etat. IV. Le jugement est exécutoire. Le président :               La greffière : Du 19 décembre 2012 Le dispositif du jugement qui précède est communiqué à l'appelante et aux autres intéressés. La greffière : Du Le jugement qui précède, dont la rédaction a été approuvée à huis clos, est notifié, par l'envoi d'une copie complète, à : - Me Nadia Calabria, avocate (pour A.________), - P.________, - Ministère public central, et communiqué à : ‑ M. le Président du Tribunal de police de l'arrondissement de Lausanne, - Ministère public de l'arrondissement de Lausanne, - Service de la population, Secteur étrangers (14 avril 1964),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