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299 vom 14. August 2013</w:t>
      </w:r>
    </w:p>
    <w:p>
      <w:r>
        <w:t>VD Tribunal cantonal, 2013-08-14, FR</w:t>
      </w:r>
    </w:p>
    <w:p>
      <w:r>
        <w:rPr>
          <w:b/>
        </w:rPr>
        <w:t xml:space="preserve">Quelle: </w:t>
      </w:r>
      <w:r>
        <w:t>https://mcp.opencaselaw.ch/entscheid/vd_findinfo_Jug___2013___299</w:t>
      </w:r>
    </w:p>
    <w:p>
      <w:r>
        <w:t>FR: VD_FINDINFO Jug / 2013 / 299 du 14 août 2013</w:t>
      </w:r>
    </w:p>
    <w:p>
      <w:r>
        <w:t>IT: VD_FINDINFO Jug / 2013 / 299 del 14 agosto 2013</w:t>
      </w:r>
    </w:p>
    <w:p>
      <w:pPr>
        <w:pStyle w:val="Heading2"/>
      </w:pPr>
      <w:r>
        <w:t>Regeste</w:t>
      </w:r>
    </w:p>
    <w:p>
      <w:r>
        <w:t>CAS GRAVE, INFRACTION, COMMERCE DE STUPÉFIANTS, CONSOMMATION DE STUPÉFIANTS, LOI FÉDÉRALE SUR LES ÉTRANGERS | 106 CP, 19 ch. 1 al. 4 LStup, 19 ch. 2 let. a LStup, 19a ch. 1 LStup, 115 al. 1 let. b LEtr</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L’appelant considère que la peine prononcée à son encontre est trop sévère compte tenu de la faible quantité – en terme de drogue pure – qu’il a vendue, ajoutant qu’il s’est adonné au trafic de drogue uniquement pour survivre. Il estime avoir fait des aveux complets qui auraient dû compter davantage à décharge.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Dans le domaine spécifique des infractions à la LStup, le Tribunal fédéral a dégagé les principes suivants (TF 6B_429/2008 du 7 novembre 2008 c. 5.1.1.)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lI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3.1.2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 4.1 et les références citées). 3.1.3 L’art. 89 CP dispose notamment que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 En cas de révocation de la libération conditionnelle, la fixation de la sanction doit tenir compte du fait qu'elle intègre un solde de peine dont l’exécution est ordonnée ensuite d’une telle révocation. On rappellera à cet égard que le Tribunal fédéral a, quant à la manière d’appliquer l'art. 49 CP auquel renvoie l’art. 89 al. 6 CP, énoncé notamment que le juge doit fixer la peine conformément au principe de l'absorption, à opposer au principe du cumul;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w:t>
      </w:r>
    </w:p>
    <w:p>
      <w:r>
        <w:rPr>
          <w:b/>
        </w:rPr>
        <w:t>E. 3.2</w:t>
      </w:r>
    </w:p>
    <w:p>
      <w:r>
        <w:t>Dans le cas d’espèce, la culpabilité d’E.________ est importante. Malgré ses lourds antécédents, le prévenu n’a pas hésité à s’adonner au trafic de stupéfiants sitôt après avoir obtenu sa libération conditionnelle le 11 juillet 2012, démontrant que les différentes peines purgées, durant plusieurs mois, ne l’ont manifestement pas dissuadé de persister dans la délinquance. Alors que le prévenu se déclare indigent, il a acheté un nouveau téléphone portable – outil de travail nécessaire - et a fait activer une nouvelle carte SIM dès le 19 juillet 2012. Le prévenu a agi à la manière d’un professionnel, adoptant un comportement proactif, pour ne pas dire incitatif, puisqu’il ne s’est pas contenté d’attendre des clients, mais les a abordés, voir les a contactés par téléphone, pour leur proposer d’acheter de la drogue, en faisant appel à des livreurs. Seule son arrestation le 6 novembre 2012 a permis de mettre fin à son trafic. Il a agi pour assurer sa subsistance quotidienne. Les infractions sont en concours. Les excuses et regrets exprimés aux débats sont à retenir à décharge. Toutefois, la sincérité des regrets exprimés par l’appelant est douteuse, les premiers juges relevant eux-mêmes que l’intéressé – dans le cadre de l’examen de sa demande de libération conditionnelle – avait prétendu vouloir retourner dans son pays natal pour y poursuivre des études et qu’il n’en avait rien fait mais avait au contraire récidivé dès sa sortie (jgt., p. 11). Enfin, l’appelant n’a pas collaboré à l’enquête, n’admettant finalement globalement les faits qui lui étaient reprochés qu’aux débats de première instance, persistant encore à contester certaines déclarations de ses clients selon lesquelles il les appelait spontanément pour leur proposer de la drogue. Partant, rien de démontre qu’il y aurait une réelle prise de conscience de l’appelant. Ses « aveux » ne pèsent donc pas lourd. Sa situation personnelle difficile constitue l’unique réelle circonstance à décharge. Au vu de ce qui précède, la peine privative de liberté de vingt-huit mois – qui comprend un solde de peine à exécuter après révocation de la libération conditionnelle de cinquante jours et qui est complémentaire à une autre peine de trois mois – est tout à fait adéquate et doit être confirmée. Il convient encore de relever que la détention subie par E.________ depuis le jugement de première instance sera déduite. En conclusion, l'appel doit être rejeté et le jugement attaqué intégralement confirmé.</w:t>
      </w:r>
    </w:p>
    <w:p>
      <w:r>
        <w:rPr>
          <w:b/>
        </w:rPr>
        <w:t>E. 4</w:t>
      </w:r>
    </w:p>
    <w:p>
      <w:r>
        <w:t>L’appelant n’a aucun projet d’avenir réaliste. Son comportement démontre, comme on l’a relevé ci-dessus, un manque de prise de conscience de la gravité des faits qui lui sont reprochés, qui laisse à craindre une récidive. Partant, le maintien en détention d’E.________ à titre de sûreté est ordonné.</w:t>
      </w:r>
    </w:p>
    <w:p>
      <w:r>
        <w:rPr>
          <w:b/>
        </w:rPr>
        <w:t>E. 5</w:t>
      </w:r>
    </w:p>
    <w:p>
      <w:r>
        <w:t>Vu l’issue de la cause, les frais de la procédure d'appel doivent être mis à la charge d’E.________ (art. 428 al. 1 CPP). Outre l'émolument, qui se monte à 1’800 fr., (art. 21 al. 1 et 2 TFJP [Tarif des frais judiciaires pénaux du 28 septembre 2010, RSV 312.03.1]), ces frais comprennent l’indemnité allouée au conseil d'office d’E.________. Au vu de la complexité de la cause, des opérations mentionnées dans la liste des opérations transmise par le défenseur d’office d’E.________ et de la connaissance du dossier acquise en première instance, il convient d'admettre que Me Fabien Hohenauer a dû consacrer 3 heures 30 à l'exécution de son mandat. L'indemnité sera dès lors arrêtée à 734 fr. 40, TVA et débours inclus. E.________ ne sera tenu de rembourser à l’Etat le montant de l’indemnité en faveur de son conseil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