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294 vom 14. Juni 2013</w:t>
      </w:r>
    </w:p>
    <w:p>
      <w:r>
        <w:t>VD Tribunal cantonal, 2013-06-14, FR</w:t>
      </w:r>
    </w:p>
    <w:p>
      <w:r>
        <w:rPr>
          <w:b/>
        </w:rPr>
        <w:t xml:space="preserve">Quelle: </w:t>
      </w:r>
      <w:r>
        <w:t>https://mcp.opencaselaw.ch/entscheid/vd_findinfo_Jug___2013___294</w:t>
      </w:r>
    </w:p>
    <w:p>
      <w:r>
        <w:t>FR: VD_FINDINFO Jug / 2013 / 294 du 14 juin 2013</w:t>
      </w:r>
    </w:p>
    <w:p>
      <w:r>
        <w:t>IT: VD_FINDINFO Jug / 2013 / 294 del 14 giugno 2013</w:t>
      </w:r>
    </w:p>
    <w:p>
      <w:pPr>
        <w:pStyle w:val="Heading2"/>
      </w:pPr>
      <w:r>
        <w:t>Regeste</w:t>
      </w:r>
    </w:p>
    <w:p>
      <w:r>
        <w:t>CONCURRENCE DÉLOYALE, RAISON DE COMMERCE | 326ter CP, 23 LCD</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Kuhn/Jeanneret (éd.), Commentaire romand, Code de procédure pénale suisse, Bâle 2011, n. 3 ad art. 399 CPP). La déclaration d’appel doit, quant à elle, être déposée dans les vingt jours à compter de la notification du jugement motivé (art. 399 al. 3 CPP). Interjeté dans les formes et délais légaux par une partie ayant la qualité pour recourir contre le jugement d’un tribunal de première instance qui a clos la procédure (art. 398 al. 1 CPP), l’appel de P.________ et de R.________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let. b, c, h et i LCD. La publicité diffusée par les appelants était trompeuse, en faisant croire aux consommateurs que W.________ est une personne physique qui serait domiciliée en Suisse, alors qu’il s’agit d’une marque propriété de la société argentine G.________. Les destinataires de la publicité étaient également leurrés sur la réalisation de gains rapides et donc sur les prestations fournies. En outre, les publicités consacraient des méthodes de vente agressives prohibées, l’imminence d’un malheur, la menace d’un envoûtement ou d’un mauvais sort étant présentés aux destinataires qui ne répondraient pas rapidement aux sollicitations. R.________ doit également être condamné pour contravention à l’art. 326ter CP, l’activité commerciale de la voyante W.________ donnant l’impression – créant l’illusion selon les termes de cette disposition – qu’une personne physique du même nom exerçait une entreprise individuelle en Suisse, alors qu’il n’en était rien. La contravention commise par R.________ jusqu’au 31 janvier 2012 n’était pas prescrite à la date du jugement de première instance (art. 97 al. 3 CP). La condamnation de P.________ et de R.________ doit dès lors être confirmée.</w:t>
      </w:r>
    </w:p>
    <w:p>
      <w:r>
        <w:rPr>
          <w:b/>
        </w:rPr>
        <w:t>E. 4</w:t>
      </w:r>
    </w:p>
    <w:p>
      <w:r>
        <w:t>Vérifiées d’office (art. 404 al. 2 CPP), les peines prononcées à l’encontre des appelants apparaissent également adéquates, tant dans leur quotité que s’agissant de la fixation du montant du jour-amende, dès lors qu'elles ont été fixées dans le respect des critères légaux par l'autorité précédente (art. 34, 42, 47 CP). Les appelants n'en demandent d'ailleurs la réduction qu'en relation avec une modification en leur faveur du verdict de culpabilité, situation non réalisée en l'espèce.</w:t>
      </w:r>
    </w:p>
    <w:p>
      <w:r>
        <w:rPr>
          <w:b/>
        </w:rPr>
        <w:t>E. 5</w:t>
      </w:r>
    </w:p>
    <w:p>
      <w:r>
        <w:t>En définitive, les appels de P.________ et de R.________ sont rejetés.</w:t>
      </w:r>
    </w:p>
    <w:p>
      <w:r>
        <w:rPr>
          <w:b/>
        </w:rPr>
        <w:t>E. 6</w:t>
      </w:r>
    </w:p>
    <w:p>
      <w:r>
        <w:t>Vu l’issue du recours, les frais de la procédure d’appel, constitués en l’espèce de l’émolument du présent jugement (art. 422 al. 1 CPP), par 1’910 fr. (art. 20 al. 1 TFJP [tarif des frais judiciaires pénaux; RSV 312.03.1] ), sont mis à la charge de P.________ et R.________, par moitié chacun.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