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2013 / 293 vom 8. Juli 2013</w:t>
      </w:r>
    </w:p>
    <w:p>
      <w:r>
        <w:t>VD Tribunal cantonal, 2013-07-08, FR</w:t>
      </w:r>
    </w:p>
    <w:p>
      <w:r>
        <w:rPr>
          <w:b/>
        </w:rPr>
        <w:t xml:space="preserve">Quelle: </w:t>
      </w:r>
      <w:r>
        <w:t>https://mcp.opencaselaw.ch/entscheid/vd_findinfo_Jug___2013___293</w:t>
      </w:r>
    </w:p>
    <w:p>
      <w:r>
        <w:t>FR: VD_FINDINFO Jug / 2013 / 293 du 8 juillet 2013</w:t>
      </w:r>
    </w:p>
    <w:p>
      <w:r>
        <w:t>IT: VD_FINDINFO Jug / 2013 / 293 del 8 luglio 2013</w:t>
      </w:r>
    </w:p>
    <w:p>
      <w:pPr>
        <w:pStyle w:val="Heading2"/>
      </w:pPr>
      <w:r>
        <w:t>Regeste</w:t>
      </w:r>
    </w:p>
    <w:p>
      <w:r>
        <w:t>BRIGANDAGE, CONCOURS D'INFRACTIONS, FIXATION DE LA PEINE | 140 ch. 2 CP, 47 al. 1 CP, 49 al. 2 CP</w:t>
      </w:r>
    </w:p>
    <w:p>
      <w:pPr>
        <w:pStyle w:val="Heading2"/>
      </w:pPr>
      <w:r>
        <w:t>Erwägungen</w:t>
      </w:r>
    </w:p>
    <w:p>
      <w:r>
        <w:rPr>
          <w:b/>
        </w:rPr>
        <w:t>E. 1</w:t>
      </w:r>
    </w:p>
    <w:p>
      <w:r>
        <w:t>Interjeté dans les formes et délais légaux (art. 399 CPP) contre le jugement d’un tribunal de première instance ayant clos la procédure (art. 398 al. 1 CPP), l'appel est recevable.</w:t>
      </w:r>
    </w:p>
    <w:p>
      <w:r>
        <w:rPr>
          <w:b/>
        </w:rPr>
        <w:t>E. 2.1</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w:t>
      </w:r>
    </w:p>
    <w:p>
      <w:r>
        <w:rPr>
          <w:b/>
        </w:rPr>
        <w:t>E. 2.2</w:t>
      </w:r>
    </w:p>
    <w:p>
      <w:r>
        <w:t>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w:t>
      </w:r>
    </w:p>
    <w:p>
      <w:r>
        <w:rPr>
          <w:b/>
        </w:rPr>
        <w:t>E. 3.1</w:t>
      </w:r>
    </w:p>
    <w:p>
      <w:r>
        <w:t>L’appelant soutient que la peine infligée en première instance est trop clémente et viole les art. 47 et 49 al. 1 CP. Il considère que, la peine minimale réprimant le brigandage qualifié au sens de l’art. 140 ch. 2 CP étant d’un an de privation de liberté, la peine prononcée dans le jugement attaqué devrait être augmentée pour tenir compte du concours de ce dernier crime avec d’autres infractions graves, d’une part, et des antécédents judiciaires de l’intimé, d’autre part. Une peine de 18 mois de privation de liberté serait ainsi adéquate pour sanctionner les comportements illicites de l’intimé. 3.2.1 Le juge fixe la peine d'après la culpabilité de l'auteur. Il prend en considération les antécédents et la situation personnelle de ce dernier ainsi que l'effet de la peine sur son avenir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L’art. 49 CP dispose que,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et est en outre lié par le maximum légal de chaque genre de peine (al. 1). L’art. 140 CP, qui réprime le brigandage, prévoit que celui qui aura commis un vol en usant de violence à l'égard d'une personne, en la menaçant d'un danger imminent pour la vie ou l'intégrité corporelle ou en la mettant hors d'état de résister sera puni d'une peine privative de liberté de dix ans au plus ou d'une peine pécuniaire de 180 jours-amende au moins (ch. 1, 1 re phrase); le brigandage sera puni d'une peine privative de liberté d'un an au moins, si son auteur s'est muni d'une arme à feu ou d'une autre arme dangereuse (ch. 2). 3.2.2 Le concours est la seule circonstance aggravante de la peine qui figure dans les dispositions générales du Code pénal. La récidive, autrefois retenue comme circonstance aggravante (art. 67 aCP), ne constitue plus un motif d’aggravation obligatoire, mais entre désormais en considération dans la détermination de la culpabilité, selon l’art. 47 al. 1 CP (FF 1999 1787 spéc. 1867).</w:t>
      </w:r>
    </w:p>
    <w:p>
      <w:r>
        <w:rPr>
          <w:b/>
        </w:rPr>
        <w:t>E. 3.3</w:t>
      </w:r>
    </w:p>
    <w:p>
      <w:r>
        <w:t>C’est à juste titre que l’appelant fait valoir que la peine prononcée procède d’une violation de l’art. 49 al. 1 CP. En fixant la peine au minimum légal de l’art. 140 ch. 2 CP, les premiers juges ont manifestement fait abstraction des effets du concours, alors même qu’ils ont retenu de nombreuses autres infractions d’une certaine gravité. En particulier, outre le brigandage, les infractions de lésions corporelles et d’extorsion dans le cas n° 2.2, de même que les vols retenus dans les cas n° 2.8 et 2.9, devaient conduire à une élévation sensible de la peine dans la proportion prévue à l’art. 49 al. 1 CP. En outre, les multiples antécédents du prévenu, en particulier les condamnations à des peines privatives de liberté, devaient être pris en considération pour la fixation de la peine selon les critères de l’art. 47 CP. En définitive, le concours d’infractions contre des biens juridiquement protégés différents et les antécédents du prévenu dictent le prononcé d’une peine correspondant aux réquisitions du Ministère public.</w:t>
      </w:r>
    </w:p>
    <w:p>
      <w:r>
        <w:rPr>
          <w:b/>
        </w:rPr>
        <w:t>E. 3.4</w:t>
      </w:r>
    </w:p>
    <w:p>
      <w:r>
        <w:t>L’appel doit donc être admis et le jugement modifié en ce sens que l’intimé est condamné à une peine privative de liberté d’une quotité de dix-huit mois.</w:t>
      </w:r>
    </w:p>
    <w:p>
      <w:r>
        <w:rPr>
          <w:b/>
        </w:rPr>
        <w:t>E. 4</w:t>
      </w:r>
    </w:p>
    <w:p>
      <w:r>
        <w:t>Il y a lieu en outre de corriger d’office une erreur manifeste entachant le chiffre IV du dispositif du jugement. En effet, il ressort clairement des considérants du jugement (c. 5, p. 11) que les premiers juges ont, à bon droit, entendu mettre entièrement les frais à la charge du prévenu. Le dispositif doit être précisé dans ce sens.</w:t>
      </w:r>
    </w:p>
    <w:p>
      <w:r>
        <w:rPr>
          <w:b/>
        </w:rPr>
        <w:t>E. 5</w:t>
      </w:r>
    </w:p>
    <w:p>
      <w:r>
        <w:t>Les frais de la procédure d'appel doivent être laissés à la charge de l’Etat, dès lors que l’intimé s’en est remis à justice et n’est donc pas réputé succomber (art. 423 et 428 al. 1, 1 ère phrase, CPP). Outre l'émolument, ces frais comprennent l’indemnité allouée à son défenseur d’office pour les opérations liées à la procédure d'appel (cf. les art. 135 al. 2 et 422 al. 2 let. a CPP; art. 2 al. 2 ch. 1 TFJP). Vu l'ampleur et la complexité de la cause en appel, l'indemnité allouée au défenseur d'office de l'intimé doit être fixée sur la base d'une durée d'activité d’une heure, à 180 fr. l'heure (s’agissant d’un avocat breveté), TVA en sus (art. 135 al. 1 CPP), soit à 194 fr. 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