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289 vom 10. Januar 2013</w:t>
      </w:r>
    </w:p>
    <w:p>
      <w:r>
        <w:t>VD Tribunal cantonal, 2013-01-10, FR</w:t>
      </w:r>
    </w:p>
    <w:p>
      <w:r>
        <w:rPr>
          <w:b/>
        </w:rPr>
        <w:t xml:space="preserve">Quelle: </w:t>
      </w:r>
      <w:r>
        <w:t>https://mcp.opencaselaw.ch/entscheid/vd_findinfo_Jug___2013___289</w:t>
      </w:r>
    </w:p>
    <w:p>
      <w:r>
        <w:t>FR: VD_FINDINFO Jug / 2013 / 289 du 10 janvier 2013</w:t>
      </w:r>
    </w:p>
    <w:p>
      <w:r>
        <w:t>IT: VD_FINDINFO Jug / 2013 / 289 del 10 gennaio 2013</w:t>
      </w:r>
    </w:p>
    <w:p>
      <w:pPr>
        <w:pStyle w:val="Heading2"/>
      </w:pPr>
      <w:r>
        <w:t>Regeste</w:t>
      </w:r>
    </w:p>
    <w:p>
      <w:r>
        <w:t>VIOLATION D'UNE OBLIGATION D'ENTRETIEN, FRAIS DE LA PROCÉDURE | 217 al. 1 CP, 426 al. 2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Le recours ayant circonscrit le débat, il n'appartient pas à l'autorité cantonale de revenir sur des questions qui sortent du cadre des considérants du Tribunal fédéral et elle n'a ainsi plus qu'à examiner, conformément à l'arrêt, les points qui ont donné lieu à cassation (Message du 28 février 2011 concernant la révision totale de l'organisation judiciaire fédérale, FF 2001 4000, spéc. p. 4143; Corboz, Le pourvoi en nullité à la Cour de cassation, in : SJ 1991 pp. 57ss, spéc. pp. 99-100; TF 6B_161/2009 du 7 mai 2009 c. 2.2; ATF 117 IV 97, JT 1993 IV 130).</w:t>
      </w:r>
    </w:p>
    <w:p>
      <w:r>
        <w:rPr>
          <w:b/>
        </w:rPr>
        <w:t>E. 2</w:t>
      </w:r>
    </w:p>
    <w:p>
      <w:r>
        <w:t>L'arrêt de la cour de céans du 23 avril 2013 a été annulé en raison de la quantification des montants dont avait disposés le prévenu durant la période litigieuse, soit du 1 er septembre 2009 au 13 janvier 2011, et de l’examen de la question de savoir si ces montants excédant le minimum vital ne devaient pas servir de compensation pour les périodes précédentes (arrêt 6B_573/2013, précité, c. 1.2). La juridiction fédérale a ajouté que l’autorité cantonale devra déterminer, en s'inspirant des principes découlant de l'art. 93 LP, si le recourant avait, durant la période litigieuse, la possibilité de s'acquitter, pour le moins en partie, de sa contribution d'entretien. Elle a précisé que, pour ce faire, l’autorité cantonale devra évaluer son revenu après déduction correspondant aux charges sociales et aux frais d'acquisition du revenu (voir arrêt 5A_919/2012 du 11 février 2013 c. 4.3.1), le cas échéant, tenir compte de la part de salaire afférent aux vacances (ATF 121 IV 272 c. 3d p. 279) et déterminer si l'absence de prestations ASSEDIC à certains moments devait être imputée à faute au prévenu.</w:t>
      </w:r>
    </w:p>
    <w:p>
      <w:r>
        <w:rPr>
          <w:b/>
        </w:rPr>
        <w:t>E. 3.1</w:t>
      </w:r>
    </w:p>
    <w:p>
      <w:r>
        <w:t>Le renvoi de la cause pour complément d’instruction découlant de l’arrêt fédéral a pour finalité de compléter le dossier afin qu’il soit statué sur le sort de l’action pénale, l’infraction de violation d’une obligation d’entretien ne pouvant être donnée que si le débiteur d’aliments a, respectivement aurait pu avoir les moyens d’honorer son obligation d’entretien relevant du droit de la famille. De par leur objet même, ces mesures d’investigation auraient nécessité le concours du prévenu. C’est à cette fin que le président de la Cour d’appel pénale l’a astreint à comparaître personnellement, d’une part, et à produire diverses pièces, d’autre part. L’appelant n’a obtempéré ni à l’une ni à l’autre de ces réquisitions.</w:t>
      </w:r>
    </w:p>
    <w:p>
      <w:r>
        <w:rPr>
          <w:b/>
        </w:rPr>
        <w:t>E. 3.2</w:t>
      </w:r>
    </w:p>
    <w:p>
      <w:r>
        <w:t>Ressortissant français, l’appelant est domicilié et travaille dans son Etat d’origine. La Convention européenne d'entraide judiciaire en matière pénale (RS 0.351.1), entrée en vigueur pour la Suisse le 20 mars 1967 et pour la France le 21 août suivant, ne prévoit au surplus pas la faculté pour le juge d’un Etat partie à procéder à des mesures d’instruction auprès d’autorités administratives d’un autre Etat partie, s’agissant en particulier de déterminer des prestations sociales éventuellement versées à un justiciable. Il en va de même du Deuxième Protocole additionnel à la Convention européenne d'entraide judiciaire en matière pénale (RS 0.351.12), entré en vigueur pour la Suisse le 1 er février 2005 et pour la France le 1 er juin 2012. La direction de la procédure ne saurait donc interpeller une autorité française, s’agissant en particulier de l’ASSEDIC.</w:t>
      </w:r>
    </w:p>
    <w:p>
      <w:r>
        <w:rPr>
          <w:b/>
        </w:rPr>
        <w:t>E. 3.3</w:t>
      </w:r>
    </w:p>
    <w:p>
      <w:r>
        <w:t>En l’état du dossier et conformément à l’arrêt fédéral, il n’existe pas d’élément factuel dont il découlerait que l’appelant se serait rendu coupable de violation d'une obligation d'entretien, faute pour l’autorité de céans de connaître les revenus et charges du débiteur d’aliments, donc de disposer des faits déterminants en droit. L’appel doit donc être admis et le prévenu libéré des fins de l’action pénale; de même, les conclusions du Service de prévoyance et d'aide sociales, subrogé dans les droits de la créancière d’aliments, doivent être rejetées.</w:t>
      </w:r>
    </w:p>
    <w:p>
      <w:r>
        <w:rPr>
          <w:b/>
        </w:rPr>
        <w:t>E. 4</w:t>
      </w:r>
    </w:p>
    <w:p>
      <w:r>
        <w:t>Reste à examiner le sort des frais de la procédure de première instance.</w:t>
      </w:r>
    </w:p>
    <w:p>
      <w:r>
        <w:rPr>
          <w:b/>
        </w:rPr>
        <w:t>E. 4.1</w:t>
      </w:r>
    </w:p>
    <w:p>
      <w:r>
        <w:t>L’art. 426 al. 2 CPP, applicable à la procédure d’appel par le renvoi de l’art. 416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w:t>
      </w:r>
    </w:p>
    <w:p>
      <w:r>
        <w:rPr>
          <w:b/>
        </w:rPr>
        <w:t>E. 4.2</w:t>
      </w:r>
    </w:p>
    <w:p>
      <w:r>
        <w:t>Dans le cas particulier, la plainte déposée le 21 avril 2010 par le SPAS énonce notamment ce qui suit : «(…). Le 13 août 2009, le Service de la population et des migrations du canton du Valais a révoqué l’autorisation d’établissement du débiteur et lui a signifié son renvoi de Suisse. M. P.________ s’est conformé à cette décision et en novembre 2009 nous avons été informés qu’il devait débuter une activité en station (Avoriaz) courant décembre. Il nous a en outre communiqué son adresse en France voisine. Par la suite, notre bureau a essayé à maintes reprises de le contacter, malheureusement toutes nos tentatives sont restées vaines. Depuis lors, il n’a pas donné signe de vie à sa fille. (…)» (P. 4/1, dernier par.). De même, le rapport d’enquête de personnalité établi le 29 septembre 2010 par l'Association d'intervention judiciaire et sociale de Haute-Savoie indique que l’intéressé «malgré nos invitations à se mettre en contact avec le BRAPA ne se mobilise pas pour solutionner ce différend» (P. 9, p. 6 in fine). En se soustrayant ainsi à ses obligations découlant du droit de la famille sans même donner d’explication quant aux motifs de sa carence, le prévenu a agi de manière dolosive, ce d’autant qu’il ne conteste par ailleurs pas devoir les pensions en souffrance (PV aud. 2, R. 2 et 3). De même, le débiteur d’aliments n’a pas ouvert action en modification du jugement de divorce pour obtenir la réduction de la contribution d'entretien selon l’art. 286 al. 1 et 2 CC, alors que tout débiteur d’aliments dont les ressources viendraient à diminuer aurait agi de la sorte. Un tel comportement doit être tenu pour fautif. Il est à l’origine de l’ouverture de la procédure pénale. Cette attitude dolosive s’est perpétrée en procédure d’appel notamment. L’appelant ne s’est en effet pas présenté personnellement à l’audience d’appel, alors même que la citation à comparaître l’y obligeait expressément. Il n’a pas davantage produit les pièces requises, dont il admet pourtant qu’elles se trouvaient, pour partie au moins, en sa possession. Plus encore, il a excipé d’un prétexte d’une rare désinvolture. Il a donc non seulement, de manière illicite et fautive, provoqué l’ouverture de la procédure, mais a encore rendu plus difficile la conduite de celle-ci. L’entier des frais de la procédure de première instance doit donc être mis à la charge de l’appelant en application de l’art. 426 al. 2 CPP.</w:t>
      </w:r>
    </w:p>
    <w:p>
      <w:r>
        <w:rPr>
          <w:b/>
        </w:rPr>
        <w:t>E. 4.3</w:t>
      </w:r>
    </w:p>
    <w:p>
      <w:r>
        <w:t>Le jugement doit ainsi être réformé aux chiffres I à III de son dispositif dans la mesure décrite au considérant 3.3 ci-dessus; il sera confirmé pour le surplus.</w:t>
      </w:r>
    </w:p>
    <w:p>
      <w:r>
        <w:rPr>
          <w:b/>
        </w:rPr>
        <w:t>E. 5</w:t>
      </w:r>
    </w:p>
    <w:p>
      <w:r>
        <w:t>Vu l'issue de la cause, les frais de la procédure d'appel doivent être laissés à la charge de l’Etat (art. 428 al. 1, 1 ère phrase, CPP). Outre l'émolument, les frais d’appel comprennent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d'une durée d'activité de deux heures d’avocat breveté, à 180 fr. l'heure, plus une unité de vacation, par 120 fr. (art. 135 al. 1 CPP), TVA en plus, à hauteur de 518 fr. 40 Cette indemnité est complémentaire à celle de 907 fr. 20, TVA et débours compris, allouée par l’arrêt de la Cour d’appel pénale du 23 avril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