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277 vom 29. Mai 2013</w:t>
      </w:r>
    </w:p>
    <w:p>
      <w:r>
        <w:t>VD Tribunal cantonal, 2013-05-29, FR</w:t>
      </w:r>
    </w:p>
    <w:p>
      <w:r>
        <w:rPr>
          <w:b/>
        </w:rPr>
        <w:t xml:space="preserve">Quelle: </w:t>
      </w:r>
      <w:r>
        <w:t>https://mcp.opencaselaw.ch/entscheid/vd_findinfo_Jug___2013___277</w:t>
      </w:r>
    </w:p>
    <w:p>
      <w:r>
        <w:t>FR: VD_FINDINFO Jug / 2013 / 277 du 29 mai 2013</w:t>
      </w:r>
    </w:p>
    <w:p>
      <w:r>
        <w:t>IT: VD_FINDINFO Jug / 2013 / 277 del 29 maggio 2013</w:t>
      </w:r>
    </w:p>
    <w:p>
      <w:pPr>
        <w:pStyle w:val="Heading2"/>
      </w:pPr>
      <w:r>
        <w:t>Regeste</w:t>
      </w:r>
    </w:p>
    <w:p>
      <w:r>
        <w:t>VIOLATION DES RÈGLES DE LA CIRCULATION, JUGE UNIQUE | 32 al. 1 LCR, 34 al. 1 LCR, 90 ch. 1 LCR</w:t>
      </w:r>
    </w:p>
    <w:p>
      <w:pPr>
        <w:pStyle w:val="Heading2"/>
      </w:pPr>
      <w:r>
        <w:t>Erwägungen</w:t>
      </w:r>
    </w:p>
    <w:p>
      <w:r>
        <w:rPr>
          <w:b/>
        </w:rPr>
        <w:t>E. 34</w:t>
      </w:r>
    </w:p>
    <w:p>
      <w:r>
        <w:t>al. 1 LCR. Selon cette disposition, les véhicules tiendront leur droite et circuleront, si la route est large, sur la moitié droite de celle-ci. Ils longeront le plus possible le bord droit de la chaussée, en particulier s'ils roulent lentement ou circulent sur un tronçon dépourvu de visibilité. En vertu de l’art. 7 al. 1 OCR, le conducteur tiendra sa droite. Il n'est pas tenu à cette règle sur les routes bombées ou difficiles et dans les tournants à gauche lorsque la visibilité est bonne et que la circulation venant en sens inverse ou de derrière n'est pas entravée. Compte tenu des faits retenus ci-dessus (cf. chiffre 2.2 supra), P.________ a circulé insuffisamment sur le côté droit de la chaussée et a donc violé l’art. 34 al. 1 LCR. 4. L’intimé doit par conséquent être condamné pour violation simple des règles de la circulation routière, pour la violation des art. 32 al. 1 et 34 al. 1 LCR. Il convient de lui infliger une amende conformément à l'art. 90 ch. 1 LCR. 4.1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ATF 129 IV 6 c. 6.1). Selon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4.2 En l’occurrence, s’agissant du montant de l’amende, il faut s’en tenir à celui figurant dans l’ordonnance préfectorale rendue le 22 août 2012, qui retenait une pluralité de contraventions, soit 250 francs. La peine privative de liberté de substitution peut être fixée à 5 jours. 5. En définitive, l’appel du Ministère public central doit être admis et le jugement attaqué modifié en ce sens que P.________ doit être reconnu coupable de violation simple des règles de la circulation. L’admission de l’appel du Ministère public central entraîne la suppression de l’indemnité fondée sur l’art. 429 CPP et rend l’appel joint de l’intimé sans objet. Vu l’issue de la cause, les frais de la procédure de première instance et les frais d’appel doivent être mis à la charge de P.________ (art. 426 al. 1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