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260 vom 19. Juni 2013</w:t>
      </w:r>
    </w:p>
    <w:p>
      <w:r>
        <w:t>VD Tribunal cantonal, 2013-06-19, FR</w:t>
      </w:r>
    </w:p>
    <w:p>
      <w:r>
        <w:rPr>
          <w:b/>
        </w:rPr>
        <w:t xml:space="preserve">Quelle: </w:t>
      </w:r>
      <w:r>
        <w:t>https://mcp.opencaselaw.ch/entscheid/vd_findinfo_Jug___2013___260</w:t>
      </w:r>
    </w:p>
    <w:p>
      <w:r>
        <w:t>FR: VD_FINDINFO Jug / 2013 / 260 du 19 juin 2013</w:t>
      </w:r>
    </w:p>
    <w:p>
      <w:r>
        <w:t>IT: VD_FINDINFO Jug / 2013 / 260 del 19 giugno 2013</w:t>
      </w:r>
    </w:p>
    <w:p>
      <w:pPr>
        <w:pStyle w:val="Heading2"/>
      </w:pPr>
      <w:r>
        <w:t>Regeste</w:t>
      </w:r>
    </w:p>
    <w:p>
      <w:r>
        <w:t>MEURTRE, LÉSION CORPORELLE SIMPLE, VOL{DROIT PÉNAL}, DOMMAGES À LA PROPRIÉTÉ{DROIT PÉNAL}, INJURE, MENACE{DROIT PÉNAL}, VIOLATION DE DOMICILE, PEINE PRIVATIVE DE LIBERTÉ, AMENDE, PEINE PÉCUNIAIRE, INTERNEMENT{DROIT PÉNAL} | 106 CP, 111 CP, 123 ch. 1 CP, 123 ch. 2 CP, 139 ch. 1 CP, 144 al. 1 CP, 177 al. 1 CP, 180 al. 1 CP, 186 CP, 47 CP, 49 al. 1 CP, 49 al. 2 CP, 51 CP, 63 CP, 69 CP, 33 al. 1 LArm, 19 ch. 2 LStup, 115 al. 1 let. b LEtr</w:t>
      </w:r>
    </w:p>
    <w:p>
      <w:pPr>
        <w:pStyle w:val="Heading2"/>
      </w:pPr>
      <w:r>
        <w:t>Erwägungen</w:t>
      </w:r>
    </w:p>
    <w:p>
      <w:r>
        <w:rPr>
          <w:b/>
        </w:rPr>
        <w:t>E. 1</w:t>
      </w:r>
    </w:p>
    <w:p>
      <w:r>
        <w:t>Interjeté dans les formes et délai légaux par une partie ayant la qualité pour recourir (art. 382 al.1 CPP; Code de procédure pénale suisse du 5 octobre 2007; RS 312.0) contre le jugement d’un tribunal de première instance qui a clos la procédure (art. 398 al. 1 CPP), l’appel du Ministère public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Le Ministère public soutient que la sécurité publique impose le prononcé de l’internement du prévenu, un traitement ou une peine seule étant impropre à diminuer le risque de récidive de celui-ci.</w:t>
      </w:r>
    </w:p>
    <w:p>
      <w:r>
        <w:rPr>
          <w:b/>
        </w:rPr>
        <w:t>E. 3.1</w:t>
      </w:r>
    </w:p>
    <w:p>
      <w:r>
        <w:t>Une mesure doit être ordonnée si une peine seule ne peut pas écarter le danger que l’auteur commette d’autres infractions, si l’auteur a besoin d’un traitement ou que la sécurité publique l’exige et si les conditions prévues aux art. 59 à 61, 63 ou 64 sont remplies (art. 56 al. 1 CP). La mesure prononcée doit en outre respecter le principe de la proportionnalité, ce qui signifie que l’atteinte aux droits de la personnalité qui en résulte pour l’auteur ne doit pas être disproportionnée au regard de la vraisemblance qu’il commette de nouvelles infractions et de leur gravité (art. 56 al. 2 CP; TF 6B_313/2010 du 1 er octobre 2010 c. 3.2; TF 6B_604/2007 du 9 janvier 2008 c. 6.2).</w:t>
      </w:r>
    </w:p>
    <w:p>
      <w:r>
        <w:rPr>
          <w:b/>
        </w:rPr>
        <w:t>E. 3.1.1</w:t>
      </w:r>
    </w:p>
    <w:p>
      <w:r>
        <w:t>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 59 CP semble vouée à l’échec. La condition d’une atteinte grave portée ou voulue à l’encontre de la victime vaut autant pour les infractions citées dans le catalogue que celles visées par la clause générale de l’art. 64 al. 1 CP (Heer, Basler Kommentar, Strafrecht I, ad art. 64, n° 22 p. 1318). La gravité de l’atteinte (portée ou voulue) doit être appréciée à l’aune de critères objectifs, ce pour tous les actes déterminants visés par l’art. 64 aI. 1 CP (ATF 139 IV 57 c.1.3.3). L’aspect subjectif du sentiment de la victime n’entre pas en considération. L’appréciation de l’atteinte doit en outre tenir compte du principe de la proportionnalité (Queloz/Brossard, Commentaire romand, Code pénal I ad art. 64 n° 18 p. 643; Heer, op. cit., n° 24 p. 1318).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(TF, 6B_486/2009 du 26 octobre 2009 c. 6.6).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op. cit; ATF 135 IV 49 c. 1.1.2). lI faut être conscient qu’il est aléatoire et difficile d’évaluer le degré de dangerosité d’un délinquant et, partant, que tout pronostic de dangerosité est incertain (ATF 127 IV 1 c. 2a). Mais, s’agissant de la décision sur le pronostic, le principe in dubio pro reo n’est pas applicable (ATF 127 IV 1 c. 2a, op cit.). En présence d’un trouble psychiatrique, l’internement fondé sur l’art. 64 al. 1 let. b CP constitue, conformément au principe de proportionnalité, une mesure subsidiaire par rapport à une mesure institutionnelle au sens de l’art. 59 CP. En tant qu’ ultima ratio , en raison de la gravité de l’atteinte à la liberté personnelle qu’il représente (ATF 134 IV 121 c.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 3.2 et 3.3; ATF 134 IV 121 précité c. 3.4.2).</w:t>
      </w:r>
    </w:p>
    <w:p>
      <w:r>
        <w:rPr>
          <w:b/>
        </w:rPr>
        <w:t>E. 3.1.2</w:t>
      </w:r>
    </w:p>
    <w:p>
      <w:r>
        <w:t>Le prononcé d’une mesure thérapeutique institutionnelle selon l’art. 59 CP suppose un grave trouble mental au moment de l’infraction, lequel doit encore exister lors du jugement. Outre l’exigence d’un grave trouble mental, le prononcé d’un traitement institutionnel selon l’art. 59 aI.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op. cit. c. 3.4.1; TF, 6B_77/2012 du 18 juin 2012; TF, 6B_784/2010 du 2 décembre 2010 c. 2.1). La loi ne précise pas ce qu’elle entend pas trouble "grave", c’est la jurisprudence qui a défini cette notion.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précité, c.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(TF, 6B_77/2012 du 18 juin 2012 précité).</w:t>
      </w:r>
    </w:p>
    <w:p>
      <w:r>
        <w:rPr>
          <w:b/>
        </w:rPr>
        <w:t>E. 3.1.3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lI 384 c. 4.2.3; ATF 129 I 49 c.4; ATF 128 I 81 c.2).</w:t>
      </w:r>
    </w:p>
    <w:p>
      <w:r>
        <w:rPr>
          <w:b/>
        </w:rPr>
        <w:t>E. 3.2.1</w:t>
      </w:r>
    </w:p>
    <w:p>
      <w:r>
        <w:t>En l'espèce, le prévenu s’est notamment rendu coupable de meurtre. Il a ainsi commis une des infractions qui se retrouvent dans le catalogue retenu par l’art. 64 al. 1 CP. Le critère de la gravité requis par la jurisprudence (ATF 139 IV 57, précité) est donc donné.</w:t>
      </w:r>
    </w:p>
    <w:p>
      <w:r>
        <w:rPr>
          <w:b/>
        </w:rPr>
        <w:t>E. 3.2.2</w:t>
      </w:r>
    </w:p>
    <w:p>
      <w:r>
        <w:t>Appréciant le risque de récidive, les experts ont noté ce qui suit dans leur rapport d'expertise du 3 novembre 2011 (P. 131) : "[...] L'expertisé ( V.________ n.d.l.r) est susceptible de commettre à nouveau des actes du même registre que ceux pour lesquels il est actuellement prévenu [...]" . Le[...] a confirmé cela devant l'autorité de première instance, où il a précisé que "[...] Le risque de récidive (me) paraît possible pour l’ensemble des actes commis, notamment de violence [...]" (jugement p. 12.). Ces constatations sont claires; elles permettent à la cour de céans de retenir que le risque de récidive est avéré et qu'il peut s'étendre à tous les actes perpétrés par le prévenu jusqu'à ce jour, notamment à ceux commis avec violence, de sorte que même un risque de nouveau meurtre est avéré. En excluant que le risque de récidive puisse s'appliquer à un meurtre ou une lésion corporelle grave (jugement p. 41), les premiers juges se sont écartés sans raison des conclusions de l’expert, ce qui viole la jurisprudence fédérale (cf. supra c. 3.1.3). Est d'ailleurs également critiquable la lecture qu'ils font des antécédents d'V.________, en omettant de considérer que ce prévenu a déjà été condamné par deux fois pour des brigandages, infraction qui rentre dans le catalogue de l’art. 64 CP. Dire, sur ces bases, que le risque de récidive se limiterait davantage à des infractions de deuxièmes catégories (les lésions corporelles simples et les rixes; jugement p. 41) est doublement erroné au regard des affirmations de l'expert et des antécédents du prévenu. D’une façon plus générale on voit que le prévenu, né en 1986 et arrivé en Suisse en 1997, a occupé, sans discontinuer et dès 2002 la justice pénale, cela majoritairement pour des actes de violence et qu'à l’âge de 15 ans, plus aucune structure spécialisée ne pouvait l’accueillir (P. 61).</w:t>
      </w:r>
    </w:p>
    <w:p>
      <w:r>
        <w:rPr>
          <w:b/>
        </w:rPr>
        <w:t>E. 3.2.3</w:t>
      </w:r>
    </w:p>
    <w:p>
      <w:r>
        <w:t>. Pour déterminer si une mesure doit être prononcée, il faut ensuite se demander si une peine seule peut écarter le danger que l’auteur commette d’autres infractions du même type. L’expert a déclaré aux débats qu’il ne lui appartenait pas de trancher cette question (jugement p. 12), ce qui est rigoureusement juste. Les premiers juges ont considéré qu’une peine de 12 ans ferait plier la volonté criminelle du prévenu (jugement p. 41, milieu de la page). Ce constat est trop optimiste face à un prévenu dont on dit qu’il est insensible à la sanction pénale et pour lequel aucun traitement ne paraît approprié (cf. infra, c. 3.2.4). Un tel constat ne saurait donc être suivi, d'autant moins que l’internement – contrairement au traitement institutionnel – est exécuté après la peine privative de liberté (art. 64 al. 2 CP). Ainsi, si pendant l’exécution de la peine privative de liberté, il est à prévoir que l’auteur se conduira correctement en liberté, une libération conditionnelle est possible aux conditions posées par l’art. 64 al. 3 CP. lI en découle que le sombre pronostic actuel pourrait ainsi être revu. Cependant, à ce jour, le prévenu ne peut pas s’empêcher de récidiver – même dans le cadre strict de la prison (cf. supra, p. 17) – et de commettre des actes violents, quand bien même il a déjà effectué quarante mois de détention. Ces condamnations n'ont donc eu aucun effet rédempteur. C'est le contraire qui s’est passé. En 2008, les experts psychiatres avaient constaté que le risque de récidive était avéré, mais diminué par un bon pronostic lié à l'analyse pertinente de la situation de l'époque et à la volonté de se stabiliser sur le plan professionnel et familial. Ce bon pronostic n'est manifestement plus présent dans l'expertise réalisée dans la présente cause, où on observe une escalade de la violence. L’exécution d’une peine s'avère donc insuffisante.</w:t>
      </w:r>
    </w:p>
    <w:p>
      <w:r>
        <w:rPr>
          <w:b/>
        </w:rPr>
        <w:t>E. 3.2.4</w:t>
      </w:r>
    </w:p>
    <w:p>
      <w:r>
        <w:t>Il faut encore déterminer la nature de la mesure à ordonner en complément à la peine. A cet égard, la question préalable à trancher est celle de savoir si le prévenu souffre d’un grave trouble mental au sens des art. 59, 63 et 64 al. 1 let, b CP et s’il peut être traité; à défaut, seul l’art. 64 al. 1 let. a CP pourrait être applicable. Pour les experts psychiatres (P. 131), le prévenu présente un trouble de la personnalité dyssociale, un syndrome de dépendance à l’alcool, utilisation épisodique, une utilisation nocive pour la santé de cocaïne, de sédatifs ou hypnotiques et un syndrome de dépendance au cannabis. L'expertise n'a pas répondu pas à la question de savoir s’il s’agit d’un grave trouble mental. Or, le Dr [...] a précisé, aux débats de première instance, que les troubles de la personnalité n'étaient pas des maladies mentales, mais qu'on les retrouvait dans les classifications des troubles psychiatriques. Ainsi, selon cet expert, le prévenu ne souffre pas d’un grave trouble mental, ce qui ferme la porte à l’art. 64 al. 1 let. b CP et aux mesures moins incisives de l’art. 59 CP. D'après l'expertise, l’efficacité d’un traitement institutionnel (P. 131 R. 4) est également exclue, elle l'est d'ailleurs rarement dans les situations de trouble de la personnalité dyssociale. Il en est de même du traitement psychothérapeutique entamé par le prévenu auprès d’une psychologue (P. 131 R.4), étant précisé que, de plus, la motivation du prévenu pour un suivi psychiatrique était faible (P. 131 R. 5). A cet égard, la jurisprudence a précisé que l’énoncé de l’art. 59 al. 1 let, b CP supposait qu’"il est à prévoir que cette mesure détournera [l'auteur] de nouvelles infraction". Contrairement au traitement psychiatrique ordonné dans le cadre d’une mesure d’internement (art. 64 al. 4 in fine CP), la mesure thérapeutique au sens de l’art. 59 CP vise avant tout "un impact thérapeutique dynamique", et donc une amélioration du pronostic légal, et non la "simple administration statique et conservatoire" des soins (ATF 137 IV 201 c. 1.3, JT 2011 IV 395; ATF 134 IV 315 c. 3.6, JT 2009 IV 79;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JT 2009 IV 79; TF 6B_20512012 du 27 juillet 2012, c. 3.2.1;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4cldd concernant le placement en maison d’éducation au travail selon l’art. 100 bis aCP; Heer, Strafrecht I, Basler Kommentar, Bâle 2007, 20 éd., n. 78 ad art. 59 CP). Il suffit que l’intéressé puisse être motivé ( "motivierbar"; TF 6B_784 du 2 décembre 2010, c. 2.2.3)(CREP 20 août 2013/497). En résumé, il manque ici deux, voire trois conditions pour envisager un traitement institutionnel, soit – par ordre décroissant d'importance – l'absence de grave trouble mental, l'inefficacité de la mesure et l'absence de motivation de l’auteur. On ajoutera qu'une mesure fondée sur le traitement des addictions (art. 60 CP) est contre-indiquée par les experts (P. 131 R. 5.2 et infra). En conclusion, il n’y a pas de place pour les mesures des art. 59, 60 et 64 al. 1 let. b CP.</w:t>
      </w:r>
    </w:p>
    <w:p>
      <w:r>
        <w:rPr>
          <w:b/>
        </w:rPr>
        <w:t>E. 3.2.5</w:t>
      </w:r>
    </w:p>
    <w:p>
      <w:r>
        <w:t>Il reste à examiner si un internement sécuritaire s’impose. La dangerosité du prévenu découle de sa structure de personnalité. D'après les experts, V.________ présente un trouble de la personnalité de type dyssocial caractérisé par une attitude méprisante envers les règles et les contraintes sociales, une faible tolérance à la frustration avec un abaissement du seuil de décharge de l’agressivité et de la violence, une tendance marquée à l’agir, au comportement querelleur et une incapacité à tirer des leçons des expériences précédentes et particulièrement des sanctions. Il peine à comprendre sa propre violence qu’il attribue à des facteurs externes, fournissant régulièrement des justifications plausibles pour expliquer son comportement et une banalisation de sa violence qu’il décrit comme un comportement normal. Cette dangerosité ne peut être contenue ni par l’exécution de la peine, les peines précédentes n’ayant eu aucun effet, ni par une mesure thérapeutique, faute de trouble mental, pas davantage par un traitement institutionnel contre l’addiction dès lors que si l’alcool et/ou des substances illicites permettent de favoriser le passage à l’acte, le prévenu a su se montrer violent sans être sous l’effet de substances (P. 61 et P. 131 p. 15). La sécurité publique commande dès lors l’internement d'V.________, en application de l’art. 64 al. 1 let. a CP. Au regard de la vraisemblance que le prévenu commette de nouvelles infractions graves, la mesure préconisée n'est pas disproportionnée à l'atteinte aux droits de la personnalité dV.________, si bien que le principe de la proportionnalité est respecté.</w:t>
      </w:r>
    </w:p>
    <w:p>
      <w:r>
        <w:rPr>
          <w:b/>
        </w:rPr>
        <w:t>E. 4</w:t>
      </w:r>
    </w:p>
    <w:p>
      <w:r>
        <w:t>En définitive, l'appel du Ministère public doit être admis et le jugement réformé dans le sens des considérants, les frais de seconde instance étant mis à la charge de V.________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