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256 vom 12. Juli 2013</w:t>
      </w:r>
    </w:p>
    <w:p>
      <w:r>
        <w:t>VD Tribunal cantonal, 2013-07-12, FR</w:t>
      </w:r>
    </w:p>
    <w:p>
      <w:r>
        <w:rPr>
          <w:b/>
        </w:rPr>
        <w:t xml:space="preserve">Quelle: </w:t>
      </w:r>
      <w:r>
        <w:t>https://mcp.opencaselaw.ch/entscheid/vd_findinfo_Jug___2013___256</w:t>
      </w:r>
    </w:p>
    <w:p>
      <w:r>
        <w:t>FR: VD_FINDINFO Jug / 2013 / 256 du 12 juillet 2013</w:t>
      </w:r>
    </w:p>
    <w:p>
      <w:r>
        <w:t>IT: VD_FINDINFO Jug / 2013 / 256 del 12 luglio 2013</w:t>
      </w:r>
    </w:p>
    <w:p>
      <w:pPr>
        <w:pStyle w:val="Heading2"/>
      </w:pPr>
      <w:r>
        <w:t>Regeste</w:t>
      </w:r>
    </w:p>
    <w:p>
      <w:r>
        <w:t>ACQUITTEMENT, DÉLINQUANT PRIMAIRE, BRIGANDAGE, LOI FÉDÉRALE SUR LES ÉTRANGERS, DOUTE | 140 ch. 1 al. 1 CP, 398 al. 2 CPP (CH), 413 al. 2 let. b CPP (CH)</w:t>
      </w:r>
    </w:p>
    <w:p>
      <w:pPr>
        <w:pStyle w:val="Heading2"/>
      </w:pPr>
      <w:r>
        <w:t>Erwägungen</w:t>
      </w:r>
    </w:p>
    <w:p>
      <w:r>
        <w:rPr>
          <w:b/>
        </w:rPr>
        <w:t>E. 1</w:t>
      </w:r>
    </w:p>
    <w:p>
      <w:r>
        <w:t>L’appel doit être annoncé dans les dix jours qui suivent la communication du jugement, soit la remise ou la notification du dispositif écrit. La déclaration d’appel doit, quant à elle, être déposée dans les vingt jours à compter de la notification du jugement motivé (cf. art. 399 al. 1 et 3 CPP). Interjeté dans les forme et délais légaux contre le jugement d’un tribunal de première instance ayant clos la procédure (cf.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a) R.________ conteste avoir commis un brigandage au préjudice de C.________ dans la nuit du 23 mars au 24 mars 2012. Il invoque également une violation de la garantie d’un procès équitable et des art. 32 al. 2 Cst (Constitution fédérale de la Confédération suisse du 18 avril 1999; RS 101), 6 par. 3 CEDH (Convention du 4 novembre 1950 de sauvegarde des droits de l'homme et des libertés fondamentales; RS 0101), 107 al. 1, 147 et 148 CPP (Code de procédure pénale suisse du 5 octobre 2007, RS 312.0). b)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(art. 140 ch. 1 CP). Selon l’art. 32 al. 2 Cst., toute personne accusée a le droit d'être informée, dans les plus brefs délais et de manière détaillée, des accusations portées contre elle. Elle doit être mise en état de faire valoir les droits de la défense. Conformément à l'art. 6 par. 3 let. d CEDH (Convention du</w:t>
      </w:r>
    </w:p>
    <w:p>
      <w:r>
        <w:rPr>
          <w:b/>
        </w:rPr>
        <w:t>E. 3.1</w:t>
      </w:r>
    </w:p>
    <w:p>
      <w:r>
        <w:t>et les références citées). Ce droit n'est toutefois absolu que lorsque le témoignage litigieux est déterminant, soit lorsqu'il constitue la seule preuve ou pour le moins une preuve essentielle (ATF 131 I 476 c. 2.2; 129 I 151 c. 3.1 et les références citées). c) En l’espèce, les arguments développés à l’appui du moyen tiré de la violation des droits de la défense, en particulier du droit d’être entendu (principalement le droit de demander une audition en contradictoire) doivent d’être examinés. En effet, les faits reprochés sont constitutifs d’une infraction grave, pour laquelle la peine encourue est lourde. Le prévenu a soulevé ces moyens dès le début de l’instruction et on ne peut donc lui reprocher de le faire tardivement ou de façon abusive. Enfin, le premier juge lui-même a admis dans son jugement qu’il aurait idéalement fallu pouvoir procéder à une nouvelle audition de la plaignante (jugement attaqué, c. 3, p. 6). L’appel est par conséquent fondé sur ce point et une condamnation pour brigandage ne peut pas être basée sur les déclarations de C.________, lesquelles ne seront par conséquent pas prises en considérations dans l’examen de l’éventuelle culpabilité de R.________. d) Un examen détaillé des preuves au dossier permet toutefois de constater que la culpabilité de R.________ pour le brigandage, peut parfaitement reposer sur le fait qu’il a été trouvé en possession du téléphone portable de la plaignante lors de son arrestation, le 25 mars 2012 à [...], en France voisine. Il ne s’agit pas ici de reprendre le raisonnement exposé par le premier juge, qui a relié ce fait avec l’identification de l’intéressé par la victime, mais de considérer que, d’une part, le fait que R.________ soit trouvé en possession du téléphone en question le lendemain de la nuit où cet objet a été dérobé est en lui-même un indice de sa participation à l’infraction. La coïncidence ne relève pas du hasard. D’autre part, et principalement, les explications avancées par le prévenu pour justifier les circonstances dans lesquelles il a obtenu cet appareil et les motifs de cette possession sont invraisemblables et ne sauraient être pris sérieusement en considération. L’hypothèse selon laquelle il aurait acquis l’appareil auprès d’un tiers contre une somme d’argent n’est pas crédible. En effet, l’intéressé a admis qu’il avait obtenu le téléphone portable à Lausanne, lieu où il a été dérobé à sa légitime propriétaire. Selon lui, il l’a acheté pour 200 fr. ou 250 fr. (PV aud. 3, p. 2), voire pour 100 fr. et 20 € (pièce 4, p. 2). La variation dans le prétendu prix de vente, comme le montant articulé pour un objet usagé acheté dans la rue sont des indications dénuées de crédibilité. Le prévenu admet en outre ne pas disposer d’argent (PV aud. 3, p. 2) et expose que ce sont des connaissances qui lui auraient confié les liquidités nécessaires (ibidem). De plus, lors de son arrestation, R.________ a été trouvé en possession de six téléphones portables. Cette autre circonstance tend à prouver qu’il faisait effectivement le trafic de ces objets. Enfin, son explication selon laquelle il avait ces appareils pour en faire cadeau à des amis (PV aud. 3, p. 3) relève du même registre d’invraisemblances et de mensonges. En définitive, sur la base de ce qui précède, la Cour d’appel pénale a acquis la conviction que le prévenu est lui-même l’auteur du brigandage. Il sera par conséquent condamné de ce chef, les faits retenus étant à l’évidence constitutifs de l’infraction de l’art. 140 ch. 1 CP.</w:t>
      </w:r>
    </w:p>
    <w:p>
      <w:r>
        <w:rPr>
          <w:b/>
        </w:rPr>
        <w:t>E. 4</w:t>
      </w:r>
    </w:p>
    <w:p>
      <w:r>
        <w:t>a) L’appelant conteste sa condamnation pour séjour illicite. R.________ conteste avoir pris connaissance de la décision de non-entrée en matière du</w:t>
      </w:r>
    </w:p>
    <w:p>
      <w:r>
        <w:rPr>
          <w:b/>
        </w:rPr>
        <w:t>E. 8</w:t>
      </w:r>
    </w:p>
    <w:p>
      <w:r>
        <w:t>mars 2012, qui ne lui aurait pas été notifiée. Selon lui, le dossier ne contient aucune preuve de ladite notification; il soutient que les décisions administratives ne peuvent déployer d’effets que si la notification a été effectuée. Si, comme le jugement attaqué le retient, le prévenu est passé dans la clandestinité après son incarcération du printemps 2012, la décision du 8 mars 2012 n’a pas pu lui être communiquée et ne peut donc pas lui être opposée. L’intéressé soutient en outre que le Service de la population n’a fait aucune objection à ce qu’il continue à séjourner en Suisse. Il invoque le principe in dubio pro reo et conclut donc à son acquittement sur ce point. b) S’agissant du séjour illégal, le premier juge s’est déclaré convaincu qu’il était réalisé. Il a considéré que les procédures d’asiles sont claires et que le prévenu ne pouvait, de bonne foi, pas soutenir que le Service de la population l’aurait implicitement autorisé à rester en Suisse. Le jugement attaqué retient encore que tout indique que le prévenu était passé dans la clandestinité après son incarcération au printemps 2012. c) Aux termes de l’art. 115 al. 1 let. b LEtr (Loi fédérale sur les étrangers du 16 décembre 2005; RS 142.20), est puni d’une peine privative de liberté d’un an au plus ou d’une peine pécuniaire quiconque séjourne illégalement en Suisse, notamment après l’expiration de la durée du séjour non soumis à autorisation ou du séjour autorisé.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d) Le seul élément au dossier concernant l’infraction à la Loi fédérale sur les étrangers est le rapport préliminaire de police en vue d’un éventuel refoulement (P. 17). Ce document mentionne uniquement qu’une demande d’asile a été déposée le 9 septembre 2011, que la décision de non-entrée en matière est datée du 8 mars 2012 et que le renvoi du prévenu a été prononcé le 11 mai 2012. Aucune trace de la décision de non-entrée en matière, ni par conséquent de sa notification à l’intéressé ne figurent au dossier. Les déclarations de R.________ en cours d’instruction à ce sujet ne sont pas déterminantes (PV aud. 3, lignes 80 à 82) et cette question a à peine été instruite lors des débats de première instance (jugement attaqué, p. 3). Vu les éléments qui précèdent, il est exclu de retenir que l’élément subjectif de l’infraction à l’art. 115 al. 1 let. b LEtr est réalisé, faute d’avoir été établi. 5. a) Subsidiairement à l’admission de ses moyens principaux tendant à son acquittement complet, l’appelant conteste la quotité de la peine, qu’il estime excessivement sévère. Il reproche au premier juge d’avoir tenu compte de ses dénégations, en particulier relative au cas de brigandage, alors qu’il s’agit d’un droit pour chaque prévenu de ne pas s’auto-incriminer. Il reproche aussi au premier juge d’avoir mal apprécié sa situation personnelle, ainsi que la réelle gravité, selon lui relative, du brigandage.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6B_85/2013 précité c. 3.1, ATF 134 IV 17 c. 2.1; ATF 129 IV 6 c. 6.1 et les références citées). c) En l’espèce, l’acquittement de R.________ du chef d’accusation d’infraction à la Loi fédérale sur les étrangers doit influer sur la quotité de la peine. Il ne faut toutefois pas perdre de vue la culpabilité relativement importante de l’intéressé. Le mobile de son comportement délictueux est vil et démontre de l’égoïsme. A charge, la Cour tiendra compte des faits constitutifs du brigandage qui dénotent une violence gratuite et un mépris d’autrui, notamment de l’intégrité physique, l’intéressé ayant fait usage d’un spray au poivre en aspergeant sa victime au visage. A décharge, il faut prendre en compte que R.________ est un délinquant primaire. En effet, l’antécédent d’avril 2012 ne saurait être pris en considération, dès lors que le présent cas est techniquement antérieur et donc entièrement complémentaire au précédent. Enfin, l’intéressé est dans une situation personnelle précaire. La Cour relève encore que le prévenu a effectué 32 jours de détention préventive dans le cadre de sa précédente condamnation, mais après avoir commis l’infraction de brigandage qui nous occupe aujourd’hui. Compte tenu de tous ces éléments, une peine complémentaire de huit mois de peine privative de liberté est adéquate et correspond aux principes légaux et à la culpabilité du prévenu.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 c. 4.2.1; ATF 128 IV 193 c. 3a; 118 IV 9 c. 2b). Le sursis est désormais la règle dont on ne peut s’écarter qu’en présence d’un pronostic défavorable. Il prime en cas d’incertitude (cf. 134 IV 5 c. 4.2.2). e) En l’espèce, il faut considérer que R.________ était un délinquant primaire au moment des faits. Il a effectué 32 jours de détention préventive en relation avec une infraction commise antérieurement à celle qui nous occupe aujourd’hui. Les conditions légales à l’octroi du sursis sont en l’état réalisées et R.________ bénéficiera d’un sursis complet. Enfin, pour tenir compte notamment du mauvais comportement en détention de l’intéressé (P. 27), le délai d’épreuve sera fixé à trois ans. 6. En définitive, l’appel de R.________ est partiellement admis et le jugement rendu le 12 juillet 2013 est réformé aux chiffres I à IV de son dispositif. Vu l’issue de la cause, les frais d’appel doivent être mis par moitié à la charge de R.________ (art. 428 al. 1 CPP). Outre l’émolument, qui se monte à 1’910 fr. (art. 21 al. 1 et 2 TFJP [Tarif des frais judiciaires pénaux du 28 septembre 2010; RSV 312.03.1]), ces frais comprennent l’indemnité allouée à son défenseur d’office. Au vu de la complexité de la cause, des opérations mentionnées dans la note d'honoraires et de la procédure d'appel, il convient d'allouer au défenseur d’office de l’appelant une indemnité arrêtée à 2'486 fr. 20, TVA et débours inclus. R.________ ne sera tenu de rembourser à l’Etat la moitié du montant de l’indemnité en faveur de son défenseur d’office que lorsque sa situation financière le permettra (art. 135 al. 4 let. a CPP). Par ces motifs, vu l’art. 115 al. 1 let. a et b LEtr, appliquant les articles  40, 42 al. 1, 44, 46 al. 2, 47, 50, 51 et 140 ch. 1 CP; 398 et 422ss CPP : I. L’appel de R.________ est partiellement admis. II. Le jugement rendu le 12 juillet 2013 par le Tribunal de police de l’arrondissement de Lausanne est modifié selon le dispositif suivant : " I. Libère R.________ du chef d’accusation d’infraction à la Loi fédérale sur les étrangers; II. Constate que R.________ s’est rendu coupable de brigandage; III. Condamne R.________ à une peine privative de liberté de 8 (huit) mois, sous déduction de 60 (soixante) jours de détention avant jugement, peine entièrement complémentaire à celle prononcée le 12 avril 2012, assortie d’un sursis pendant 3 (trois) ans ; IV. Renonce à révoquer le sursis accordé le 12 avril 2012 par le Ministère public de l’arrondissement de Lausanne; V. Met les frais de la cause par 2/3, soit 3'130 fr. 40, à la charge de R.________ , le solde, par 1'562 fr. 20, étant laissé à la charge de l’Etat. Ces frais comprennent l’indemnité du conseil d’office par 2'570 fr. 60, dont le remboursement par 2/3 ne sera exigible que pour autant que la situation financière de R.________ le permette; III. La détention subie depuis le jugement de première instance est déduite. IV. La mise en liberté immédiate de R.________ est ordonnée à moins qu’il ne soit détenu pour une autre cause. V. Une indemnité de conseil d'office pour la procédure d'appel d'un montant de 2'486 fr. 20, débours et TVA compris est allouée à Me Frank Tièche. VI. Les frais d'appel, par 1’910 fr. (mille neuf cent dix francs), y compris l’indemnité allouée au conseil d’office de l’appelant, par 2'486 fr. 20 (deux mille quatre cent huitante-six francs et vingt centimes), sont mis pour moitié à la charge de R.________, le solde étant laissé à la charge de l’Etat. VII. R.________ ne sera tenu de rembourser à l’Etat la moitié du montant de l’indemnité prévue sous chiffre V ci-dessus que lorsque sa situation financière le permettra . VIII. Le jugement est exécutoire. Le président :               La greffière : Du</w:t>
      </w:r>
    </w:p>
    <w:p>
      <w:r>
        <w:rPr>
          <w:b/>
        </w:rPr>
        <w:t>E. 9</w:t>
      </w:r>
    </w:p>
    <w:p>
      <w:r>
        <w:t>octobre 2013 Le dispositif du jugement qui précède est communiqué à l’appelant et aux autres intéressés. La greffière : Du Le jugement qui précède, dont la rédaction a été approuvée à huis clos, est notifié, par l'envoi d'une copie complète, à : - Me Frank Tièche, avocat (pour R.________), - Ministère public central, une copie du dispositif est adressée à : - M. le Président du Tribunal de police de l'arrondissement de Lausanne, - Mme la Procureure du Ministère public de l’arrondissement de l’Est Vaudois, - Office d'exécution des peines, - Prison de la Croisée, - Service de la population, - Office fédéral des migrations,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