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253 vom 21. Dezember 2011</w:t>
      </w:r>
    </w:p>
    <w:p>
      <w:r>
        <w:t>VD Tribunal cantonal, 2011-12-21, FR</w:t>
      </w:r>
    </w:p>
    <w:p>
      <w:r>
        <w:rPr>
          <w:b/>
        </w:rPr>
        <w:t xml:space="preserve">Quelle: </w:t>
      </w:r>
      <w:r>
        <w:t>https://mcp.opencaselaw.ch/entscheid/vd_findinfo_Jug___2013___253</w:t>
      </w:r>
    </w:p>
    <w:p>
      <w:r>
        <w:t>FR: VD_FINDINFO Jug / 2013 / 253 du 21 décembre 2011</w:t>
      </w:r>
    </w:p>
    <w:p>
      <w:r>
        <w:t>IT: VD_FINDINFO Jug / 2013 / 253 del 21 dicembre 2011</w:t>
      </w:r>
    </w:p>
    <w:p>
      <w:pPr>
        <w:pStyle w:val="Heading2"/>
      </w:pPr>
      <w:r>
        <w:t>Regeste</w:t>
      </w:r>
    </w:p>
    <w:p>
      <w:r>
        <w:t>PLAIGNANT, PARTIE CIVILE, VICE DE PROCÉDURE, NULLITÉ | 409 CPP (CH)</w:t>
      </w:r>
    </w:p>
    <w:p>
      <w:pPr>
        <w:pStyle w:val="Heading2"/>
      </w:pPr>
      <w:r>
        <w:t>Erwägungen</w:t>
      </w:r>
    </w:p>
    <w:p>
      <w:r>
        <w:rPr>
          <w:b/>
        </w:rPr>
        <w:t>E. 1</w:t>
      </w:r>
    </w:p>
    <w:p>
      <w:r>
        <w:t>Interjeté dans les formes et délais légaux (cf. art. 399 CPP) contre le jugement d’un tribunal de première instance ayant clos la procédure (art. 398 al. 1 CPP), par une partie ayant qualité pour agir (art. 382 al. 1 et al. 2, a contrario, CPP), l'appel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1.3</w:t>
      </w:r>
    </w:p>
    <w:p>
      <w:r>
        <w:t>Seuls des points de droit devant être tranchés, l’appel est soumis à la procédure écrite (art. 406 al. 1 let. a CPP). Sous la note marginale « Prononcé et notification du jugement », l’art. 351 CPP prévoit que, lorsque le tribunal est en mesure de statuer matériellement sur l'accusation, il rend un jugement sur la culpabilité du prévenu, les sanctions et les autres conséquences (al. 1); le tribunal rend son jugement sur chaque point à la majorité simple et le notifie conformément à l'art. 84 CPP (al. 2, 1 re phrase, et al. 3). L’art. 84 al. 4 CPP dispose que, si le tribunal doit motiver son jugement par écrit, il notifie dans les 60 jours, exceptionnellement dans les 90 jours, au prévenu et au ministère public le jugement intégralement motivé et ne notifie aux autres parties que les passages du jugement qui se réfèrent à leurs conclusions.</w:t>
      </w:r>
    </w:p>
    <w:p>
      <w:r>
        <w:rPr>
          <w:b/>
        </w:rPr>
        <w:t>E. 2</w:t>
      </w:r>
    </w:p>
    <w:p>
      <w:r>
        <w:t>En l’espèce, il ressort du dossier que M.________ a conservé sa qualité de partie plaignante jusqu’au terme de la procédure clôturée par le jugement du 21 décembre 2011. Cette décision devait donc lui être notifiée conformément aux réquisits légaux énoncés ci-dessus, dans le délai légal et à l’instar des autres parties. Le premier juge n’a pas davantage statué sur le sort de l’action pénale en relation avec les faits dénoncés par la plainte, pas plus qu’il ne s’est prononcé sur les conclusions civiles dont il avait à connaître. Il s’ensuit que la procédure de première instance présente des vices importants auxquels il est impossible de remédier en procédure d'appel, au sens de l’art. 409 al. 1 in initio CPP.</w:t>
      </w:r>
    </w:p>
    <w:p>
      <w:r>
        <w:rPr>
          <w:b/>
        </w:rPr>
        <w:t>E. 3</w:t>
      </w:r>
    </w:p>
    <w:p>
      <w:r>
        <w:t>S’agissant de vices dirimants, la violation des art. 351 et 84 al. 4 CPP doit ainsi entraîner l’annulation du jugement au sens de l’art. 409 al. 1 in fine CPP. Il appartiendra au premier juge de citer le plaignant M.________ et le prévenu P.________, en procédant à de nouveaux débats. Les autres faits mentionnés dans l’acte d’accusation (cas n° 1 et 3) ne sont plus punissables au vu des retraits de plainte intervenus lors des débats de première instance. C.________ n’aura dès lors plus la qualité de prévenu en reprise de cause, de même que P.________ ne saurait répondre d’autres faits. Un nouveau jugement, statuant tant sur l’action pénale que sur les conclusions civiles, devra ensuite être rendu à l’égard de P.________.</w:t>
      </w:r>
    </w:p>
    <w:p>
      <w:r>
        <w:rPr>
          <w:b/>
        </w:rPr>
        <w:t>E. 4</w:t>
      </w:r>
    </w:p>
    <w:p>
      <w:r>
        <w:t>L’appelant obtenant gain de cause et le jugement devant être annulé, les frais de la procédure d'appel doivent être laissés à la charge de l’Etat (art. 428 al. 4 CPP). Ces frais sont limités à l'émolument d’arrêt (art. 422 al. 1 CPP; art. 21 al. 1 et 2 TFJP), l’appelant ayant agi seul dans sa propre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