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251 vom 3. Juli 2013</w:t>
      </w:r>
    </w:p>
    <w:p>
      <w:r>
        <w:t>VD Tribunal cantonal, 2013-07-03, FR</w:t>
      </w:r>
    </w:p>
    <w:p>
      <w:r>
        <w:rPr>
          <w:b/>
        </w:rPr>
        <w:t xml:space="preserve">Quelle: </w:t>
      </w:r>
      <w:r>
        <w:t>https://mcp.opencaselaw.ch/entscheid/vd_findinfo_Jug___2013___251</w:t>
      </w:r>
    </w:p>
    <w:p>
      <w:r>
        <w:t>FR: VD_FINDINFO Jug / 2013 / 251 du 3 juillet 2013</w:t>
      </w:r>
    </w:p>
    <w:p>
      <w:r>
        <w:t>IT: VD_FINDINFO Jug / 2013 / 251 del 3 luglio 2013</w:t>
      </w:r>
    </w:p>
    <w:p>
      <w:pPr>
        <w:pStyle w:val="Heading2"/>
      </w:pPr>
      <w:r>
        <w:t>Regeste</w:t>
      </w:r>
    </w:p>
    <w:p>
      <w:r>
        <w:t>COURTAGE, COURTIER, SALAIRE, DROIT AU SALAIRE | 412 al. 1 CO, 412 CO, 413 al. 1 CO, 413 CO</w:t>
      </w:r>
    </w:p>
    <w:p>
      <w:pPr>
        <w:pStyle w:val="Heading2"/>
      </w:pPr>
      <w:r>
        <w:t>Erwägungen</w:t>
      </w:r>
    </w:p>
    <w:p>
      <w:r>
        <w:rPr>
          <w:b/>
        </w:rPr>
        <w:t>E. 2</w:t>
      </w:r>
    </w:p>
    <w:p>
      <w:r>
        <w:t>ème éd., Berne 1997, p. 692). En principe, le débiteur d’une obligation exigible est mis en demeure par l’interpellation du créancier (art. 102 al. 1 CO). Acte soumis à réception, l’interpellation produit effet dès qu’elle parvient dans la sphère juridique du débiteur ou de son représentant (Engel, op. cit., p. 685 et la réf. citée). Est une interpellation la lettre invitant le débiteur à l’exécution. L’interpellation est à terme si le créancier fixe l’échéance de la prestation, conformément à son droit (Engel, op. cit., p. 686). En l’occurrence, par courrier du 2 avril 2009, le conseil de la demanderesse a invité le défendeur à verser à la demanderesse la somme de 259’369 fr. 80 à titre de commission de courtage d’ici au 15 avril 2009, faute de quoi la demanderesse ouvrirait action en justice. Un intérêt moratoire de 5 % l’an doit donc être accordé à la demanderesse dès le 16 avril 2009, date du lendemain de l’échéance du délai de paiement qu’elle a concédé. VI.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b) En l’espèce, obtenant entièrement gain de cause, la demanderesse a droit à de pleins dépens, à la charge du défendeur, qu'il convient d'arrêter à 33'445 fr., savoir : a) 25’000 fr. à titre de participation aux honoraires de son conseil; b) 1’250 fr. pour les débours de celui‑ci; c) 7'195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